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D29FFD" w14:textId="77777777" w:rsidR="0040041B" w:rsidRDefault="0040041B" w:rsidP="00D76836">
      <w:pPr>
        <w:jc w:val="both"/>
        <w:rPr>
          <w:rFonts w:ascii="Arial" w:hAnsi="Arial" w:cs="Arial"/>
          <w:b/>
          <w:sz w:val="22"/>
          <w:szCs w:val="22"/>
        </w:rPr>
      </w:pPr>
    </w:p>
    <w:p w14:paraId="13D29FFE" w14:textId="77777777" w:rsidR="00D76836" w:rsidRPr="00842625" w:rsidRDefault="0022476A" w:rsidP="00D76836">
      <w:pPr>
        <w:jc w:val="both"/>
        <w:rPr>
          <w:rFonts w:ascii="Arial" w:hAnsi="Arial" w:cs="Arial"/>
          <w:b/>
          <w:sz w:val="22"/>
          <w:szCs w:val="22"/>
        </w:rPr>
      </w:pPr>
      <w:r w:rsidRPr="00842625">
        <w:rPr>
          <w:rFonts w:ascii="Arial" w:hAnsi="Arial" w:cs="Arial"/>
          <w:b/>
          <w:sz w:val="22"/>
          <w:szCs w:val="22"/>
        </w:rPr>
        <w:t xml:space="preserve">I.  </w:t>
      </w:r>
      <w:r w:rsidRPr="00842625">
        <w:rPr>
          <w:rFonts w:ascii="Arial" w:hAnsi="Arial" w:cs="Arial"/>
          <w:b/>
          <w:sz w:val="22"/>
          <w:szCs w:val="22"/>
        </w:rPr>
        <w:tab/>
      </w:r>
      <w:r w:rsidR="00D76836" w:rsidRPr="00842625">
        <w:rPr>
          <w:rFonts w:ascii="Arial" w:hAnsi="Arial" w:cs="Arial"/>
          <w:b/>
          <w:sz w:val="22"/>
          <w:szCs w:val="22"/>
        </w:rPr>
        <w:t>INTRODUCTION TO THE INCIDENT RESPONSE PLAN</w:t>
      </w:r>
      <w:r w:rsidR="00842625">
        <w:rPr>
          <w:rFonts w:ascii="Arial" w:hAnsi="Arial" w:cs="Arial"/>
          <w:b/>
          <w:sz w:val="22"/>
          <w:szCs w:val="22"/>
        </w:rPr>
        <w:t>.</w:t>
      </w:r>
    </w:p>
    <w:p w14:paraId="13D29FFF" w14:textId="77777777" w:rsidR="00D76836" w:rsidRPr="00842625" w:rsidRDefault="00D76836" w:rsidP="00D76836">
      <w:pPr>
        <w:jc w:val="both"/>
        <w:rPr>
          <w:rFonts w:ascii="Arial" w:hAnsi="Arial" w:cs="Arial"/>
          <w:b/>
          <w:sz w:val="22"/>
          <w:szCs w:val="22"/>
        </w:rPr>
      </w:pPr>
    </w:p>
    <w:p w14:paraId="13D2A000" w14:textId="77777777" w:rsidR="00D76836" w:rsidRPr="00842625" w:rsidRDefault="00D76836" w:rsidP="00D76836">
      <w:pPr>
        <w:keepNext/>
        <w:keepLines/>
        <w:ind w:left="720"/>
        <w:jc w:val="both"/>
        <w:rPr>
          <w:rFonts w:ascii="Arial" w:hAnsi="Arial" w:cs="Arial"/>
          <w:caps/>
          <w:sz w:val="22"/>
          <w:szCs w:val="22"/>
        </w:rPr>
      </w:pPr>
      <w:r w:rsidRPr="00842625">
        <w:rPr>
          <w:rFonts w:ascii="Arial" w:hAnsi="Arial" w:cs="Arial"/>
          <w:sz w:val="22"/>
          <w:szCs w:val="22"/>
        </w:rPr>
        <w:t>A.</w:t>
      </w:r>
      <w:r w:rsidRPr="00842625">
        <w:rPr>
          <w:rFonts w:ascii="Arial" w:hAnsi="Arial" w:cs="Arial"/>
          <w:b/>
          <w:sz w:val="22"/>
          <w:szCs w:val="22"/>
        </w:rPr>
        <w:tab/>
      </w:r>
      <w:r w:rsidRPr="00842625">
        <w:rPr>
          <w:rFonts w:ascii="Arial" w:hAnsi="Arial" w:cs="Arial"/>
          <w:caps/>
          <w:sz w:val="22"/>
          <w:szCs w:val="22"/>
          <w:u w:val="single"/>
        </w:rPr>
        <w:t>PURPOSE</w:t>
      </w:r>
      <w:r w:rsidRPr="00842625">
        <w:rPr>
          <w:rFonts w:ascii="Arial" w:hAnsi="Arial" w:cs="Arial"/>
          <w:caps/>
          <w:sz w:val="22"/>
          <w:szCs w:val="22"/>
        </w:rPr>
        <w:t>.</w:t>
      </w:r>
    </w:p>
    <w:p w14:paraId="13D2A001" w14:textId="77777777" w:rsidR="00D76836" w:rsidRPr="00842625" w:rsidRDefault="00D76836" w:rsidP="00D76836">
      <w:pPr>
        <w:keepNext/>
        <w:keepLines/>
        <w:ind w:left="720"/>
        <w:jc w:val="both"/>
        <w:rPr>
          <w:rFonts w:ascii="Arial" w:hAnsi="Arial" w:cs="Arial"/>
          <w:caps/>
          <w:sz w:val="22"/>
          <w:szCs w:val="22"/>
        </w:rPr>
      </w:pPr>
    </w:p>
    <w:p w14:paraId="13D2A002" w14:textId="77777777" w:rsidR="00D76836" w:rsidRPr="00842625" w:rsidRDefault="00D76836" w:rsidP="00D76836">
      <w:pPr>
        <w:keepNext/>
        <w:keepLines/>
        <w:ind w:left="720" w:firstLine="720"/>
        <w:jc w:val="both"/>
        <w:rPr>
          <w:rFonts w:ascii="Arial" w:hAnsi="Arial" w:cs="Arial"/>
          <w:sz w:val="22"/>
          <w:szCs w:val="22"/>
        </w:rPr>
      </w:pPr>
      <w:r w:rsidRPr="0040041B">
        <w:rPr>
          <w:rFonts w:ascii="Arial" w:hAnsi="Arial" w:cs="Arial"/>
          <w:sz w:val="22"/>
          <w:szCs w:val="22"/>
        </w:rPr>
        <w:t>This Incident Response Plan (</w:t>
      </w:r>
      <w:r w:rsidR="00A525B2">
        <w:rPr>
          <w:rFonts w:ascii="Arial" w:hAnsi="Arial" w:cs="Arial"/>
          <w:sz w:val="22"/>
          <w:szCs w:val="22"/>
        </w:rPr>
        <w:t>“</w:t>
      </w:r>
      <w:r w:rsidRPr="0040041B">
        <w:rPr>
          <w:rFonts w:ascii="Arial" w:hAnsi="Arial" w:cs="Arial"/>
          <w:sz w:val="22"/>
          <w:szCs w:val="22"/>
        </w:rPr>
        <w:t>IRP</w:t>
      </w:r>
      <w:r w:rsidR="00A525B2">
        <w:rPr>
          <w:rFonts w:ascii="Arial" w:hAnsi="Arial" w:cs="Arial"/>
          <w:sz w:val="22"/>
          <w:szCs w:val="22"/>
        </w:rPr>
        <w:t>”</w:t>
      </w:r>
      <w:r w:rsidRPr="0040041B">
        <w:rPr>
          <w:rFonts w:ascii="Arial" w:hAnsi="Arial" w:cs="Arial"/>
          <w:sz w:val="22"/>
          <w:szCs w:val="22"/>
        </w:rPr>
        <w:t xml:space="preserve">) has been designed for data privacy-related incidents reported at </w:t>
      </w:r>
      <w:r w:rsidR="00A64C9D">
        <w:rPr>
          <w:rFonts w:ascii="Arial" w:hAnsi="Arial" w:cs="Arial"/>
          <w:sz w:val="22"/>
          <w:szCs w:val="22"/>
        </w:rPr>
        <w:t>_______________</w:t>
      </w:r>
      <w:r w:rsidR="00F13EFF">
        <w:rPr>
          <w:rFonts w:ascii="Arial" w:hAnsi="Arial" w:cs="Arial"/>
          <w:sz w:val="22"/>
          <w:szCs w:val="22"/>
        </w:rPr>
        <w:t xml:space="preserve"> </w:t>
      </w:r>
      <w:r w:rsidR="00063FA2" w:rsidRPr="0040041B">
        <w:rPr>
          <w:rFonts w:ascii="Arial" w:hAnsi="Arial" w:cs="Arial"/>
          <w:sz w:val="22"/>
          <w:szCs w:val="22"/>
        </w:rPr>
        <w:t>(the “</w:t>
      </w:r>
      <w:r w:rsidR="00A64C9D">
        <w:rPr>
          <w:rFonts w:ascii="Arial" w:hAnsi="Arial" w:cs="Arial"/>
          <w:sz w:val="22"/>
          <w:szCs w:val="22"/>
        </w:rPr>
        <w:t>Organization</w:t>
      </w:r>
      <w:r w:rsidR="00063FA2" w:rsidRPr="0040041B">
        <w:rPr>
          <w:rFonts w:ascii="Arial" w:hAnsi="Arial" w:cs="Arial"/>
          <w:sz w:val="22"/>
          <w:szCs w:val="22"/>
        </w:rPr>
        <w:t xml:space="preserve">”).  </w:t>
      </w:r>
      <w:r w:rsidRPr="0040041B">
        <w:rPr>
          <w:rFonts w:ascii="Arial" w:hAnsi="Arial" w:cs="Arial"/>
          <w:sz w:val="22"/>
          <w:szCs w:val="22"/>
        </w:rPr>
        <w:t xml:space="preserve">While each </w:t>
      </w:r>
      <w:r w:rsidR="00E43FAA" w:rsidRPr="0040041B">
        <w:rPr>
          <w:rFonts w:ascii="Arial" w:hAnsi="Arial" w:cs="Arial"/>
          <w:sz w:val="22"/>
          <w:szCs w:val="22"/>
        </w:rPr>
        <w:t xml:space="preserve">data </w:t>
      </w:r>
      <w:r w:rsidRPr="0040041B">
        <w:rPr>
          <w:rFonts w:ascii="Arial" w:hAnsi="Arial" w:cs="Arial"/>
          <w:sz w:val="22"/>
          <w:szCs w:val="22"/>
        </w:rPr>
        <w:t>privacy-related incident has unique aspects, this plan gives the Incident Response Team</w:t>
      </w:r>
      <w:r w:rsidRPr="00842625">
        <w:rPr>
          <w:rFonts w:ascii="Arial" w:hAnsi="Arial" w:cs="Arial"/>
          <w:sz w:val="22"/>
          <w:szCs w:val="22"/>
        </w:rPr>
        <w:t xml:space="preserve"> (</w:t>
      </w:r>
      <w:r w:rsidR="00A525B2">
        <w:rPr>
          <w:rFonts w:ascii="Arial" w:hAnsi="Arial" w:cs="Arial"/>
          <w:sz w:val="22"/>
          <w:szCs w:val="22"/>
        </w:rPr>
        <w:t>“</w:t>
      </w:r>
      <w:r w:rsidRPr="00842625">
        <w:rPr>
          <w:rFonts w:ascii="Arial" w:hAnsi="Arial" w:cs="Arial"/>
          <w:sz w:val="22"/>
          <w:szCs w:val="22"/>
        </w:rPr>
        <w:t>IRT</w:t>
      </w:r>
      <w:r w:rsidR="00A525B2">
        <w:rPr>
          <w:rFonts w:ascii="Arial" w:hAnsi="Arial" w:cs="Arial"/>
          <w:sz w:val="22"/>
          <w:szCs w:val="22"/>
        </w:rPr>
        <w:t>”</w:t>
      </w:r>
      <w:r w:rsidRPr="00842625">
        <w:rPr>
          <w:rFonts w:ascii="Arial" w:hAnsi="Arial" w:cs="Arial"/>
          <w:sz w:val="22"/>
          <w:szCs w:val="22"/>
        </w:rPr>
        <w:t xml:space="preserve">) overall guidelines for its responsibilities and actions. </w:t>
      </w:r>
    </w:p>
    <w:p w14:paraId="13D2A003" w14:textId="77777777" w:rsidR="00D76836" w:rsidRPr="00842625" w:rsidRDefault="00D76836" w:rsidP="00D76836">
      <w:pPr>
        <w:keepNext/>
        <w:keepLines/>
        <w:ind w:left="720" w:firstLine="720"/>
        <w:jc w:val="both"/>
        <w:rPr>
          <w:rFonts w:ascii="Arial" w:hAnsi="Arial" w:cs="Arial"/>
          <w:sz w:val="22"/>
          <w:szCs w:val="22"/>
        </w:rPr>
      </w:pPr>
    </w:p>
    <w:p w14:paraId="13D2A004" w14:textId="77777777" w:rsidR="00D76836" w:rsidRPr="00842625" w:rsidRDefault="00D76836" w:rsidP="00D76836">
      <w:pPr>
        <w:keepNext/>
        <w:keepLines/>
        <w:ind w:left="720"/>
        <w:jc w:val="both"/>
        <w:rPr>
          <w:rFonts w:ascii="Arial" w:hAnsi="Arial" w:cs="Arial"/>
          <w:sz w:val="22"/>
          <w:szCs w:val="22"/>
        </w:rPr>
      </w:pPr>
      <w:r w:rsidRPr="00842625">
        <w:rPr>
          <w:rFonts w:ascii="Arial" w:hAnsi="Arial" w:cs="Arial"/>
          <w:sz w:val="22"/>
          <w:szCs w:val="22"/>
        </w:rPr>
        <w:t>B.</w:t>
      </w:r>
      <w:r w:rsidRPr="00842625">
        <w:rPr>
          <w:rFonts w:ascii="Arial" w:hAnsi="Arial" w:cs="Arial"/>
          <w:b/>
          <w:sz w:val="22"/>
          <w:szCs w:val="22"/>
        </w:rPr>
        <w:tab/>
      </w:r>
      <w:r w:rsidRPr="00842625">
        <w:rPr>
          <w:rFonts w:ascii="Arial" w:hAnsi="Arial" w:cs="Arial"/>
          <w:caps/>
          <w:sz w:val="22"/>
          <w:szCs w:val="22"/>
          <w:u w:val="single"/>
        </w:rPr>
        <w:t>OBJECTIVES</w:t>
      </w:r>
      <w:r w:rsidRPr="00842625">
        <w:rPr>
          <w:rFonts w:ascii="Arial" w:hAnsi="Arial" w:cs="Arial"/>
          <w:caps/>
          <w:sz w:val="22"/>
          <w:szCs w:val="22"/>
        </w:rPr>
        <w:t xml:space="preserve">.  </w:t>
      </w:r>
      <w:r w:rsidRPr="00842625">
        <w:rPr>
          <w:rFonts w:ascii="Arial" w:hAnsi="Arial" w:cs="Arial"/>
          <w:sz w:val="22"/>
          <w:szCs w:val="22"/>
        </w:rPr>
        <w:t xml:space="preserve">The </w:t>
      </w:r>
      <w:r w:rsidR="00E43FAA" w:rsidRPr="00842625">
        <w:rPr>
          <w:rFonts w:ascii="Arial" w:hAnsi="Arial" w:cs="Arial"/>
          <w:sz w:val="22"/>
          <w:szCs w:val="22"/>
        </w:rPr>
        <w:t>IRP</w:t>
      </w:r>
      <w:r w:rsidRPr="00842625">
        <w:rPr>
          <w:rFonts w:ascii="Arial" w:hAnsi="Arial" w:cs="Arial"/>
          <w:sz w:val="22"/>
          <w:szCs w:val="22"/>
        </w:rPr>
        <w:t xml:space="preserve"> enables </w:t>
      </w:r>
      <w:r w:rsidR="00063FA2" w:rsidRPr="00842625">
        <w:rPr>
          <w:rFonts w:ascii="Arial" w:hAnsi="Arial" w:cs="Arial"/>
          <w:sz w:val="22"/>
          <w:szCs w:val="22"/>
        </w:rPr>
        <w:t xml:space="preserve">the </w:t>
      </w:r>
      <w:r w:rsidR="00A64C9D">
        <w:rPr>
          <w:rFonts w:ascii="Arial" w:hAnsi="Arial" w:cs="Arial"/>
          <w:sz w:val="22"/>
          <w:szCs w:val="22"/>
        </w:rPr>
        <w:t>Organization</w:t>
      </w:r>
      <w:r w:rsidRPr="00842625">
        <w:rPr>
          <w:rFonts w:ascii="Arial" w:hAnsi="Arial" w:cs="Arial"/>
          <w:sz w:val="22"/>
          <w:szCs w:val="22"/>
        </w:rPr>
        <w:t xml:space="preserve"> to respond to most privacy-related incidents in an efficient and cost-effective manner that:</w:t>
      </w:r>
    </w:p>
    <w:p w14:paraId="13D2A005" w14:textId="77777777" w:rsidR="00D76836" w:rsidRPr="00842625" w:rsidRDefault="00D76836" w:rsidP="00D76836">
      <w:pPr>
        <w:keepNext/>
        <w:keepLines/>
        <w:ind w:left="720"/>
        <w:jc w:val="both"/>
        <w:rPr>
          <w:rFonts w:ascii="Arial" w:hAnsi="Arial" w:cs="Arial"/>
          <w:sz w:val="22"/>
          <w:szCs w:val="22"/>
        </w:rPr>
      </w:pPr>
    </w:p>
    <w:p w14:paraId="13D2A006" w14:textId="77777777" w:rsidR="00ED111A" w:rsidRPr="00842625" w:rsidRDefault="00ED111A" w:rsidP="00ED111A">
      <w:pPr>
        <w:pStyle w:val="BodyBullet1"/>
        <w:numPr>
          <w:ilvl w:val="0"/>
          <w:numId w:val="0"/>
        </w:numPr>
        <w:ind w:left="720" w:firstLine="720"/>
        <w:jc w:val="both"/>
        <w:rPr>
          <w:rFonts w:ascii="Arial" w:hAnsi="Arial" w:cs="Arial"/>
          <w:sz w:val="22"/>
          <w:szCs w:val="22"/>
        </w:rPr>
      </w:pPr>
      <w:r w:rsidRPr="00842625">
        <w:rPr>
          <w:rFonts w:ascii="Arial" w:hAnsi="Arial" w:cs="Arial"/>
          <w:sz w:val="22"/>
          <w:szCs w:val="22"/>
        </w:rPr>
        <w:t>1.</w:t>
      </w:r>
      <w:r w:rsidRPr="00842625">
        <w:rPr>
          <w:rFonts w:ascii="Arial" w:hAnsi="Arial" w:cs="Arial"/>
          <w:sz w:val="22"/>
          <w:szCs w:val="22"/>
        </w:rPr>
        <w:tab/>
      </w:r>
      <w:r w:rsidR="00D76836" w:rsidRPr="00842625">
        <w:rPr>
          <w:rFonts w:ascii="Arial" w:hAnsi="Arial" w:cs="Arial"/>
          <w:sz w:val="22"/>
          <w:szCs w:val="22"/>
        </w:rPr>
        <w:t xml:space="preserve">Avoids or minimizes damage to individuals whose </w:t>
      </w:r>
      <w:r w:rsidR="0092275F">
        <w:rPr>
          <w:rFonts w:ascii="Arial" w:hAnsi="Arial" w:cs="Arial"/>
          <w:sz w:val="22"/>
          <w:szCs w:val="22"/>
        </w:rPr>
        <w:t>P</w:t>
      </w:r>
      <w:r w:rsidR="00D76836" w:rsidRPr="00842625">
        <w:rPr>
          <w:rFonts w:ascii="Arial" w:hAnsi="Arial" w:cs="Arial"/>
          <w:sz w:val="22"/>
          <w:szCs w:val="22"/>
        </w:rPr>
        <w:t>ersonal</w:t>
      </w:r>
      <w:r w:rsidR="0092275F">
        <w:rPr>
          <w:rFonts w:ascii="Arial" w:hAnsi="Arial" w:cs="Arial"/>
          <w:sz w:val="22"/>
          <w:szCs w:val="22"/>
        </w:rPr>
        <w:t>ly Identifiable</w:t>
      </w:r>
      <w:r w:rsidR="00D76836" w:rsidRPr="00842625">
        <w:rPr>
          <w:rFonts w:ascii="Arial" w:hAnsi="Arial" w:cs="Arial"/>
          <w:sz w:val="22"/>
          <w:szCs w:val="22"/>
        </w:rPr>
        <w:t xml:space="preserve"> </w:t>
      </w:r>
      <w:r w:rsidR="0092275F">
        <w:rPr>
          <w:rFonts w:ascii="Arial" w:hAnsi="Arial" w:cs="Arial"/>
          <w:sz w:val="22"/>
          <w:szCs w:val="22"/>
        </w:rPr>
        <w:t>I</w:t>
      </w:r>
      <w:r w:rsidR="00D76836" w:rsidRPr="00842625">
        <w:rPr>
          <w:rFonts w:ascii="Arial" w:hAnsi="Arial" w:cs="Arial"/>
          <w:sz w:val="22"/>
          <w:szCs w:val="22"/>
        </w:rPr>
        <w:t>nformation</w:t>
      </w:r>
      <w:r w:rsidR="0092275F">
        <w:rPr>
          <w:rFonts w:ascii="Arial" w:hAnsi="Arial" w:cs="Arial"/>
          <w:sz w:val="22"/>
          <w:szCs w:val="22"/>
        </w:rPr>
        <w:t xml:space="preserve"> (“PII”)</w:t>
      </w:r>
      <w:r w:rsidR="005727DE">
        <w:rPr>
          <w:rFonts w:ascii="Arial" w:hAnsi="Arial" w:cs="Arial"/>
          <w:sz w:val="22"/>
          <w:szCs w:val="22"/>
        </w:rPr>
        <w:t xml:space="preserve"> </w:t>
      </w:r>
      <w:r w:rsidR="003859EF">
        <w:rPr>
          <w:rFonts w:ascii="Arial" w:hAnsi="Arial" w:cs="Arial"/>
          <w:sz w:val="22"/>
          <w:szCs w:val="22"/>
        </w:rPr>
        <w:t xml:space="preserve">or </w:t>
      </w:r>
      <w:r w:rsidR="0092275F">
        <w:rPr>
          <w:rFonts w:ascii="Arial" w:hAnsi="Arial" w:cs="Arial"/>
          <w:sz w:val="22"/>
          <w:szCs w:val="22"/>
        </w:rPr>
        <w:t>P</w:t>
      </w:r>
      <w:r w:rsidR="005727DE">
        <w:rPr>
          <w:rFonts w:ascii="Arial" w:hAnsi="Arial" w:cs="Arial"/>
          <w:sz w:val="22"/>
          <w:szCs w:val="22"/>
        </w:rPr>
        <w:t xml:space="preserve">rotected </w:t>
      </w:r>
      <w:r w:rsidR="0092275F">
        <w:rPr>
          <w:rFonts w:ascii="Arial" w:hAnsi="Arial" w:cs="Arial"/>
          <w:sz w:val="22"/>
          <w:szCs w:val="22"/>
        </w:rPr>
        <w:t>H</w:t>
      </w:r>
      <w:r w:rsidR="005727DE">
        <w:rPr>
          <w:rFonts w:ascii="Arial" w:hAnsi="Arial" w:cs="Arial"/>
          <w:sz w:val="22"/>
          <w:szCs w:val="22"/>
        </w:rPr>
        <w:t xml:space="preserve">ealth </w:t>
      </w:r>
      <w:r w:rsidR="0092275F">
        <w:rPr>
          <w:rFonts w:ascii="Arial" w:hAnsi="Arial" w:cs="Arial"/>
          <w:sz w:val="22"/>
          <w:szCs w:val="22"/>
        </w:rPr>
        <w:t>I</w:t>
      </w:r>
      <w:r w:rsidR="005727DE">
        <w:rPr>
          <w:rFonts w:ascii="Arial" w:hAnsi="Arial" w:cs="Arial"/>
          <w:sz w:val="22"/>
          <w:szCs w:val="22"/>
        </w:rPr>
        <w:t>nformation</w:t>
      </w:r>
      <w:r w:rsidR="0092275F">
        <w:rPr>
          <w:rFonts w:ascii="Arial" w:hAnsi="Arial" w:cs="Arial"/>
          <w:sz w:val="22"/>
          <w:szCs w:val="22"/>
        </w:rPr>
        <w:t xml:space="preserve"> (“PHI”)</w:t>
      </w:r>
      <w:r w:rsidR="005727DE">
        <w:rPr>
          <w:rFonts w:ascii="Arial" w:hAnsi="Arial" w:cs="Arial"/>
          <w:sz w:val="22"/>
          <w:szCs w:val="22"/>
        </w:rPr>
        <w:t xml:space="preserve"> </w:t>
      </w:r>
      <w:r w:rsidR="00D76836" w:rsidRPr="00842625">
        <w:rPr>
          <w:rFonts w:ascii="Arial" w:hAnsi="Arial" w:cs="Arial"/>
          <w:sz w:val="22"/>
          <w:szCs w:val="22"/>
        </w:rPr>
        <w:t>may have been compromised</w:t>
      </w:r>
      <w:r w:rsidRPr="00842625">
        <w:rPr>
          <w:rFonts w:ascii="Arial" w:hAnsi="Arial" w:cs="Arial"/>
          <w:sz w:val="22"/>
          <w:szCs w:val="22"/>
        </w:rPr>
        <w:t>.</w:t>
      </w:r>
    </w:p>
    <w:p w14:paraId="13D2A007" w14:textId="77777777" w:rsidR="00D76836" w:rsidRPr="00842625" w:rsidRDefault="00ED111A" w:rsidP="00ED111A">
      <w:pPr>
        <w:pStyle w:val="BodyBullet1"/>
        <w:numPr>
          <w:ilvl w:val="0"/>
          <w:numId w:val="0"/>
        </w:numPr>
        <w:ind w:left="720" w:firstLine="720"/>
        <w:jc w:val="both"/>
        <w:rPr>
          <w:rFonts w:ascii="Arial" w:hAnsi="Arial" w:cs="Arial"/>
          <w:sz w:val="22"/>
          <w:szCs w:val="22"/>
        </w:rPr>
      </w:pPr>
      <w:r w:rsidRPr="00842625">
        <w:rPr>
          <w:rFonts w:ascii="Arial" w:hAnsi="Arial" w:cs="Arial"/>
          <w:sz w:val="22"/>
          <w:szCs w:val="22"/>
        </w:rPr>
        <w:t>2.</w:t>
      </w:r>
      <w:r w:rsidRPr="00842625">
        <w:rPr>
          <w:rFonts w:ascii="Arial" w:hAnsi="Arial" w:cs="Arial"/>
          <w:sz w:val="22"/>
          <w:szCs w:val="22"/>
        </w:rPr>
        <w:tab/>
      </w:r>
      <w:r w:rsidR="00D76836" w:rsidRPr="00842625">
        <w:rPr>
          <w:rFonts w:ascii="Arial" w:hAnsi="Arial" w:cs="Arial"/>
          <w:sz w:val="22"/>
          <w:szCs w:val="22"/>
        </w:rPr>
        <w:t>Avoids or minimizes short and long-term business losses resulting from a privacy-related data breach</w:t>
      </w:r>
      <w:r w:rsidRPr="00842625">
        <w:rPr>
          <w:rFonts w:ascii="Arial" w:hAnsi="Arial" w:cs="Arial"/>
          <w:sz w:val="22"/>
          <w:szCs w:val="22"/>
        </w:rPr>
        <w:t>.</w:t>
      </w:r>
    </w:p>
    <w:p w14:paraId="13D2A008" w14:textId="77777777" w:rsidR="00D76836" w:rsidRPr="00842625" w:rsidRDefault="00ED111A" w:rsidP="00ED111A">
      <w:pPr>
        <w:pStyle w:val="BodyBullet1"/>
        <w:numPr>
          <w:ilvl w:val="0"/>
          <w:numId w:val="0"/>
        </w:numPr>
        <w:ind w:left="720" w:firstLine="720"/>
        <w:jc w:val="both"/>
        <w:rPr>
          <w:rFonts w:ascii="Arial" w:hAnsi="Arial" w:cs="Arial"/>
          <w:sz w:val="22"/>
          <w:szCs w:val="22"/>
        </w:rPr>
      </w:pPr>
      <w:r w:rsidRPr="00842625">
        <w:rPr>
          <w:rFonts w:ascii="Arial" w:hAnsi="Arial" w:cs="Arial"/>
          <w:sz w:val="22"/>
          <w:szCs w:val="22"/>
        </w:rPr>
        <w:t>3.</w:t>
      </w:r>
      <w:r w:rsidRPr="00842625">
        <w:rPr>
          <w:rFonts w:ascii="Arial" w:hAnsi="Arial" w:cs="Arial"/>
          <w:sz w:val="22"/>
          <w:szCs w:val="22"/>
        </w:rPr>
        <w:tab/>
      </w:r>
      <w:r w:rsidR="00D76836" w:rsidRPr="00842625">
        <w:rPr>
          <w:rFonts w:ascii="Arial" w:hAnsi="Arial" w:cs="Arial"/>
          <w:sz w:val="22"/>
          <w:szCs w:val="22"/>
        </w:rPr>
        <w:t>Meets industry and regulatory requirements and avoids breach-related penalties</w:t>
      </w:r>
      <w:r w:rsidRPr="00842625">
        <w:rPr>
          <w:rFonts w:ascii="Arial" w:hAnsi="Arial" w:cs="Arial"/>
          <w:sz w:val="22"/>
          <w:szCs w:val="22"/>
        </w:rPr>
        <w:t>.</w:t>
      </w:r>
    </w:p>
    <w:p w14:paraId="13D2A009" w14:textId="77777777" w:rsidR="00D76836" w:rsidRPr="00842625" w:rsidRDefault="00ED111A" w:rsidP="00ED111A">
      <w:pPr>
        <w:pStyle w:val="BodyBullet1"/>
        <w:numPr>
          <w:ilvl w:val="0"/>
          <w:numId w:val="0"/>
        </w:numPr>
        <w:ind w:left="720" w:firstLine="720"/>
        <w:jc w:val="both"/>
        <w:rPr>
          <w:rFonts w:ascii="Arial" w:hAnsi="Arial" w:cs="Arial"/>
          <w:sz w:val="22"/>
          <w:szCs w:val="22"/>
        </w:rPr>
      </w:pPr>
      <w:r w:rsidRPr="00842625">
        <w:rPr>
          <w:rFonts w:ascii="Arial" w:hAnsi="Arial" w:cs="Arial"/>
          <w:sz w:val="22"/>
          <w:szCs w:val="22"/>
        </w:rPr>
        <w:t>4.</w:t>
      </w:r>
      <w:r w:rsidRPr="00842625">
        <w:rPr>
          <w:rFonts w:ascii="Arial" w:hAnsi="Arial" w:cs="Arial"/>
          <w:sz w:val="22"/>
          <w:szCs w:val="22"/>
        </w:rPr>
        <w:tab/>
      </w:r>
      <w:r w:rsidR="003859EF">
        <w:rPr>
          <w:rFonts w:ascii="Arial" w:hAnsi="Arial" w:cs="Arial"/>
          <w:sz w:val="22"/>
          <w:szCs w:val="22"/>
        </w:rPr>
        <w:t>M</w:t>
      </w:r>
      <w:r w:rsidR="00D76836" w:rsidRPr="00842625">
        <w:rPr>
          <w:rFonts w:ascii="Arial" w:hAnsi="Arial" w:cs="Arial"/>
          <w:sz w:val="22"/>
          <w:szCs w:val="22"/>
        </w:rPr>
        <w:t xml:space="preserve">inimizes </w:t>
      </w:r>
      <w:r w:rsidR="003859EF">
        <w:rPr>
          <w:rFonts w:ascii="Arial" w:hAnsi="Arial" w:cs="Arial"/>
          <w:sz w:val="22"/>
          <w:szCs w:val="22"/>
        </w:rPr>
        <w:t xml:space="preserve">the </w:t>
      </w:r>
      <w:r w:rsidR="00D76836" w:rsidRPr="00842625">
        <w:rPr>
          <w:rFonts w:ascii="Arial" w:hAnsi="Arial" w:cs="Arial"/>
          <w:sz w:val="22"/>
          <w:szCs w:val="22"/>
        </w:rPr>
        <w:t xml:space="preserve">risk of class-action litigation resulting from a </w:t>
      </w:r>
      <w:r w:rsidR="00296776" w:rsidRPr="00842625">
        <w:rPr>
          <w:rFonts w:ascii="Arial" w:hAnsi="Arial" w:cs="Arial"/>
          <w:sz w:val="22"/>
          <w:szCs w:val="22"/>
        </w:rPr>
        <w:t>breach.</w:t>
      </w:r>
    </w:p>
    <w:p w14:paraId="13D2A00A" w14:textId="77777777" w:rsidR="00D76836" w:rsidRPr="00842625" w:rsidRDefault="00ED111A" w:rsidP="00ED111A">
      <w:pPr>
        <w:pStyle w:val="BodyBullet1"/>
        <w:numPr>
          <w:ilvl w:val="0"/>
          <w:numId w:val="0"/>
        </w:numPr>
        <w:ind w:left="720" w:firstLine="720"/>
        <w:jc w:val="both"/>
        <w:rPr>
          <w:rFonts w:ascii="Arial" w:hAnsi="Arial" w:cs="Arial"/>
          <w:sz w:val="22"/>
          <w:szCs w:val="22"/>
        </w:rPr>
      </w:pPr>
      <w:r w:rsidRPr="00842625">
        <w:rPr>
          <w:rFonts w:ascii="Arial" w:hAnsi="Arial" w:cs="Arial"/>
          <w:sz w:val="22"/>
          <w:szCs w:val="22"/>
        </w:rPr>
        <w:t>5.</w:t>
      </w:r>
      <w:r w:rsidRPr="00842625">
        <w:rPr>
          <w:rFonts w:ascii="Arial" w:hAnsi="Arial" w:cs="Arial"/>
          <w:sz w:val="22"/>
          <w:szCs w:val="22"/>
        </w:rPr>
        <w:tab/>
      </w:r>
      <w:r w:rsidR="003859EF">
        <w:rPr>
          <w:rFonts w:ascii="Arial" w:hAnsi="Arial" w:cs="Arial"/>
          <w:sz w:val="22"/>
          <w:szCs w:val="22"/>
        </w:rPr>
        <w:t>M</w:t>
      </w:r>
      <w:r w:rsidR="00D76836" w:rsidRPr="00842625">
        <w:rPr>
          <w:rFonts w:ascii="Arial" w:hAnsi="Arial" w:cs="Arial"/>
          <w:sz w:val="22"/>
          <w:szCs w:val="22"/>
        </w:rPr>
        <w:t xml:space="preserve">inimizes </w:t>
      </w:r>
      <w:r w:rsidR="003859EF">
        <w:rPr>
          <w:rFonts w:ascii="Arial" w:hAnsi="Arial" w:cs="Arial"/>
          <w:sz w:val="22"/>
          <w:szCs w:val="22"/>
        </w:rPr>
        <w:t xml:space="preserve">the </w:t>
      </w:r>
      <w:r w:rsidR="00D76836" w:rsidRPr="00842625">
        <w:rPr>
          <w:rFonts w:ascii="Arial" w:hAnsi="Arial" w:cs="Arial"/>
          <w:sz w:val="22"/>
          <w:szCs w:val="22"/>
        </w:rPr>
        <w:t>risk of similar breaches in the future</w:t>
      </w:r>
      <w:r w:rsidRPr="00842625">
        <w:rPr>
          <w:rFonts w:ascii="Arial" w:hAnsi="Arial" w:cs="Arial"/>
          <w:sz w:val="22"/>
          <w:szCs w:val="22"/>
        </w:rPr>
        <w:t>.</w:t>
      </w:r>
    </w:p>
    <w:p w14:paraId="13D2A00B" w14:textId="77777777" w:rsidR="0022476A" w:rsidRPr="00842625" w:rsidRDefault="00ED111A" w:rsidP="0022476A">
      <w:pPr>
        <w:keepNext/>
        <w:keepLines/>
        <w:ind w:left="720"/>
        <w:jc w:val="both"/>
        <w:rPr>
          <w:rFonts w:ascii="Arial" w:hAnsi="Arial" w:cs="Arial"/>
          <w:sz w:val="22"/>
          <w:szCs w:val="22"/>
        </w:rPr>
      </w:pPr>
      <w:bookmarkStart w:id="0" w:name="_Toc121207436"/>
      <w:r w:rsidRPr="00842625">
        <w:rPr>
          <w:rFonts w:ascii="Arial" w:hAnsi="Arial" w:cs="Arial"/>
          <w:sz w:val="22"/>
          <w:szCs w:val="22"/>
        </w:rPr>
        <w:t>C.</w:t>
      </w:r>
      <w:r w:rsidRPr="00842625">
        <w:rPr>
          <w:rFonts w:ascii="Arial" w:hAnsi="Arial" w:cs="Arial"/>
          <w:sz w:val="22"/>
          <w:szCs w:val="22"/>
        </w:rPr>
        <w:tab/>
      </w:r>
      <w:r w:rsidRPr="00842625">
        <w:rPr>
          <w:rFonts w:ascii="Arial" w:hAnsi="Arial" w:cs="Arial"/>
          <w:caps/>
          <w:sz w:val="22"/>
          <w:szCs w:val="22"/>
          <w:u w:val="single"/>
        </w:rPr>
        <w:t>IRP Requirements</w:t>
      </w:r>
      <w:bookmarkEnd w:id="0"/>
      <w:r w:rsidRPr="00842625">
        <w:rPr>
          <w:rFonts w:ascii="Arial" w:hAnsi="Arial" w:cs="Arial"/>
          <w:sz w:val="22"/>
          <w:szCs w:val="22"/>
        </w:rPr>
        <w:t>.  The following requirements must be met to help ensu</w:t>
      </w:r>
      <w:r w:rsidR="0022476A" w:rsidRPr="00842625">
        <w:rPr>
          <w:rFonts w:ascii="Arial" w:hAnsi="Arial" w:cs="Arial"/>
          <w:sz w:val="22"/>
          <w:szCs w:val="22"/>
        </w:rPr>
        <w:t>re the effectiveness of the IRP:</w:t>
      </w:r>
    </w:p>
    <w:p w14:paraId="13D2A00C" w14:textId="77777777" w:rsidR="0022476A" w:rsidRPr="00842625" w:rsidRDefault="0022476A" w:rsidP="0022476A">
      <w:pPr>
        <w:keepNext/>
        <w:keepLines/>
        <w:ind w:left="720"/>
        <w:jc w:val="both"/>
        <w:rPr>
          <w:rFonts w:ascii="Arial" w:hAnsi="Arial" w:cs="Arial"/>
          <w:sz w:val="22"/>
          <w:szCs w:val="22"/>
        </w:rPr>
      </w:pPr>
    </w:p>
    <w:p w14:paraId="13D2A00D" w14:textId="77777777" w:rsidR="0022476A" w:rsidRPr="00842625" w:rsidRDefault="0022476A" w:rsidP="0022476A">
      <w:pPr>
        <w:pStyle w:val="BodyBullet1"/>
        <w:numPr>
          <w:ilvl w:val="0"/>
          <w:numId w:val="0"/>
        </w:numPr>
        <w:ind w:left="720" w:firstLine="720"/>
        <w:jc w:val="both"/>
        <w:rPr>
          <w:rFonts w:ascii="Arial" w:hAnsi="Arial" w:cs="Arial"/>
          <w:sz w:val="22"/>
          <w:szCs w:val="22"/>
        </w:rPr>
      </w:pPr>
      <w:r w:rsidRPr="00842625">
        <w:rPr>
          <w:rFonts w:ascii="Arial" w:hAnsi="Arial" w:cs="Arial"/>
          <w:sz w:val="22"/>
          <w:szCs w:val="22"/>
        </w:rPr>
        <w:t>1.</w:t>
      </w:r>
      <w:r w:rsidRPr="00842625">
        <w:rPr>
          <w:rFonts w:ascii="Arial" w:hAnsi="Arial" w:cs="Arial"/>
          <w:sz w:val="22"/>
          <w:szCs w:val="22"/>
        </w:rPr>
        <w:tab/>
        <w:t xml:space="preserve">The IRP must be approved by </w:t>
      </w:r>
      <w:r w:rsidR="00A525B2">
        <w:rPr>
          <w:rFonts w:ascii="Arial" w:hAnsi="Arial" w:cs="Arial"/>
          <w:sz w:val="22"/>
          <w:szCs w:val="22"/>
        </w:rPr>
        <w:t xml:space="preserve">the </w:t>
      </w:r>
      <w:r w:rsidR="00C17559" w:rsidRPr="00AB1F8F">
        <w:rPr>
          <w:rFonts w:ascii="Arial" w:hAnsi="Arial" w:cs="Arial"/>
          <w:sz w:val="22"/>
          <w:szCs w:val="22"/>
        </w:rPr>
        <w:t>Board</w:t>
      </w:r>
      <w:r w:rsidR="00C17559">
        <w:rPr>
          <w:rFonts w:ascii="Arial" w:hAnsi="Arial" w:cs="Arial"/>
          <w:sz w:val="22"/>
          <w:szCs w:val="22"/>
        </w:rPr>
        <w:t xml:space="preserve"> of Trustees</w:t>
      </w:r>
      <w:r w:rsidRPr="00842625">
        <w:rPr>
          <w:rFonts w:ascii="Arial" w:hAnsi="Arial" w:cs="Arial"/>
          <w:sz w:val="22"/>
          <w:szCs w:val="22"/>
        </w:rPr>
        <w:t>.</w:t>
      </w:r>
    </w:p>
    <w:p w14:paraId="13D2A00E" w14:textId="77777777" w:rsidR="0022476A" w:rsidRPr="00842625" w:rsidRDefault="0022476A" w:rsidP="0022476A">
      <w:pPr>
        <w:pStyle w:val="BodyBullet1"/>
        <w:numPr>
          <w:ilvl w:val="0"/>
          <w:numId w:val="0"/>
        </w:numPr>
        <w:ind w:left="720" w:firstLine="720"/>
        <w:jc w:val="both"/>
        <w:rPr>
          <w:rFonts w:ascii="Arial" w:hAnsi="Arial" w:cs="Arial"/>
          <w:sz w:val="22"/>
          <w:szCs w:val="22"/>
        </w:rPr>
      </w:pPr>
      <w:r w:rsidRPr="00842625">
        <w:rPr>
          <w:rFonts w:ascii="Arial" w:hAnsi="Arial" w:cs="Arial"/>
          <w:sz w:val="22"/>
          <w:szCs w:val="22"/>
        </w:rPr>
        <w:t>2.</w:t>
      </w:r>
      <w:r w:rsidRPr="00842625">
        <w:rPr>
          <w:rFonts w:ascii="Arial" w:hAnsi="Arial" w:cs="Arial"/>
          <w:sz w:val="22"/>
          <w:szCs w:val="22"/>
        </w:rPr>
        <w:tab/>
        <w:t>IRT members must be trained in their IRP roles and responsibilities.</w:t>
      </w:r>
    </w:p>
    <w:p w14:paraId="13D2A00F" w14:textId="77777777" w:rsidR="0022476A" w:rsidRPr="00842625" w:rsidRDefault="0022476A" w:rsidP="0022476A">
      <w:pPr>
        <w:pStyle w:val="BodyBullet1"/>
        <w:numPr>
          <w:ilvl w:val="0"/>
          <w:numId w:val="0"/>
        </w:numPr>
        <w:ind w:left="720" w:firstLine="720"/>
        <w:jc w:val="both"/>
        <w:rPr>
          <w:rFonts w:ascii="Arial" w:hAnsi="Arial" w:cs="Arial"/>
          <w:sz w:val="22"/>
          <w:szCs w:val="22"/>
        </w:rPr>
      </w:pPr>
      <w:r w:rsidRPr="00842625">
        <w:rPr>
          <w:rFonts w:ascii="Arial" w:hAnsi="Arial" w:cs="Arial"/>
          <w:sz w:val="22"/>
          <w:szCs w:val="22"/>
        </w:rPr>
        <w:t>3.</w:t>
      </w:r>
      <w:r w:rsidRPr="00842625">
        <w:rPr>
          <w:rFonts w:ascii="Arial" w:hAnsi="Arial" w:cs="Arial"/>
          <w:sz w:val="22"/>
          <w:szCs w:val="22"/>
        </w:rPr>
        <w:tab/>
        <w:t>The IRP must be tested and reviewed regularly.</w:t>
      </w:r>
    </w:p>
    <w:p w14:paraId="13D2A010" w14:textId="77777777" w:rsidR="0022476A" w:rsidRPr="00842625" w:rsidRDefault="0022476A" w:rsidP="0022476A">
      <w:pPr>
        <w:pStyle w:val="BodyBullet1"/>
        <w:numPr>
          <w:ilvl w:val="0"/>
          <w:numId w:val="0"/>
        </w:numPr>
        <w:ind w:left="720" w:firstLine="720"/>
        <w:jc w:val="both"/>
        <w:rPr>
          <w:rFonts w:ascii="Arial" w:hAnsi="Arial" w:cs="Arial"/>
          <w:sz w:val="22"/>
          <w:szCs w:val="22"/>
        </w:rPr>
      </w:pPr>
      <w:r w:rsidRPr="00842625">
        <w:rPr>
          <w:rFonts w:ascii="Arial" w:hAnsi="Arial" w:cs="Arial"/>
          <w:sz w:val="22"/>
          <w:szCs w:val="22"/>
        </w:rPr>
        <w:t>4.</w:t>
      </w:r>
      <w:r w:rsidRPr="00842625">
        <w:rPr>
          <w:rFonts w:ascii="Arial" w:hAnsi="Arial" w:cs="Arial"/>
          <w:sz w:val="22"/>
          <w:szCs w:val="22"/>
        </w:rPr>
        <w:tab/>
        <w:t xml:space="preserve">The IRP must cover all foreseeable data </w:t>
      </w:r>
      <w:r w:rsidR="00A525B2">
        <w:rPr>
          <w:rFonts w:ascii="Arial" w:hAnsi="Arial" w:cs="Arial"/>
          <w:sz w:val="22"/>
          <w:szCs w:val="22"/>
        </w:rPr>
        <w:t>breach</w:t>
      </w:r>
      <w:r w:rsidR="00A525B2" w:rsidRPr="00842625">
        <w:rPr>
          <w:rFonts w:ascii="Arial" w:hAnsi="Arial" w:cs="Arial"/>
          <w:sz w:val="22"/>
          <w:szCs w:val="22"/>
        </w:rPr>
        <w:t xml:space="preserve"> </w:t>
      </w:r>
      <w:r w:rsidRPr="00842625">
        <w:rPr>
          <w:rFonts w:ascii="Arial" w:hAnsi="Arial" w:cs="Arial"/>
          <w:sz w:val="22"/>
          <w:szCs w:val="22"/>
        </w:rPr>
        <w:t>incidents/types.</w:t>
      </w:r>
    </w:p>
    <w:p w14:paraId="13D2A011" w14:textId="77777777" w:rsidR="0022476A" w:rsidRPr="00842625" w:rsidRDefault="0022476A" w:rsidP="0022476A">
      <w:pPr>
        <w:pStyle w:val="BodyBullet1"/>
        <w:numPr>
          <w:ilvl w:val="0"/>
          <w:numId w:val="0"/>
        </w:numPr>
        <w:ind w:left="720" w:firstLine="720"/>
        <w:jc w:val="both"/>
        <w:rPr>
          <w:rFonts w:ascii="Arial" w:hAnsi="Arial" w:cs="Arial"/>
          <w:sz w:val="22"/>
          <w:szCs w:val="22"/>
        </w:rPr>
      </w:pPr>
      <w:r w:rsidRPr="00842625">
        <w:rPr>
          <w:rFonts w:ascii="Arial" w:hAnsi="Arial" w:cs="Arial"/>
          <w:sz w:val="22"/>
          <w:szCs w:val="22"/>
        </w:rPr>
        <w:t>5.</w:t>
      </w:r>
      <w:r w:rsidRPr="00842625">
        <w:rPr>
          <w:rFonts w:ascii="Arial" w:hAnsi="Arial" w:cs="Arial"/>
          <w:sz w:val="22"/>
          <w:szCs w:val="22"/>
        </w:rPr>
        <w:tab/>
        <w:t xml:space="preserve">The IRP must outline how to assist </w:t>
      </w:r>
      <w:r w:rsidR="00A64C9D">
        <w:rPr>
          <w:rFonts w:ascii="Arial" w:hAnsi="Arial" w:cs="Arial"/>
          <w:sz w:val="22"/>
          <w:szCs w:val="22"/>
        </w:rPr>
        <w:t>administration</w:t>
      </w:r>
      <w:r w:rsidRPr="00842625">
        <w:rPr>
          <w:rFonts w:ascii="Arial" w:hAnsi="Arial" w:cs="Arial"/>
          <w:sz w:val="22"/>
          <w:szCs w:val="22"/>
        </w:rPr>
        <w:t xml:space="preserve">, </w:t>
      </w:r>
      <w:r w:rsidR="00A64C9D">
        <w:rPr>
          <w:rFonts w:ascii="Arial" w:hAnsi="Arial" w:cs="Arial"/>
          <w:sz w:val="22"/>
          <w:szCs w:val="22"/>
        </w:rPr>
        <w:t xml:space="preserve">staff, faculty, </w:t>
      </w:r>
      <w:r w:rsidRPr="00842625">
        <w:rPr>
          <w:rFonts w:ascii="Arial" w:hAnsi="Arial" w:cs="Arial"/>
          <w:sz w:val="22"/>
          <w:szCs w:val="22"/>
        </w:rPr>
        <w:t xml:space="preserve">employees, </w:t>
      </w:r>
      <w:r w:rsidR="00A64C9D">
        <w:rPr>
          <w:rFonts w:ascii="Arial" w:hAnsi="Arial" w:cs="Arial"/>
          <w:sz w:val="22"/>
          <w:szCs w:val="22"/>
        </w:rPr>
        <w:t>students</w:t>
      </w:r>
      <w:r w:rsidR="009C7927">
        <w:rPr>
          <w:rFonts w:ascii="Arial" w:hAnsi="Arial" w:cs="Arial"/>
          <w:sz w:val="22"/>
          <w:szCs w:val="22"/>
        </w:rPr>
        <w:t xml:space="preserve">, </w:t>
      </w:r>
      <w:r w:rsidR="00A64C9D">
        <w:rPr>
          <w:rFonts w:ascii="Arial" w:hAnsi="Arial" w:cs="Arial"/>
          <w:sz w:val="22"/>
          <w:szCs w:val="22"/>
        </w:rPr>
        <w:t>alumni, parents</w:t>
      </w:r>
      <w:r w:rsidR="006579BD">
        <w:rPr>
          <w:rFonts w:ascii="Arial" w:hAnsi="Arial" w:cs="Arial"/>
          <w:sz w:val="22"/>
          <w:szCs w:val="22"/>
        </w:rPr>
        <w:t>,</w:t>
      </w:r>
      <w:r w:rsidR="009C7927">
        <w:rPr>
          <w:rFonts w:ascii="Arial" w:hAnsi="Arial" w:cs="Arial"/>
          <w:sz w:val="22"/>
          <w:szCs w:val="22"/>
        </w:rPr>
        <w:t xml:space="preserve"> </w:t>
      </w:r>
      <w:r w:rsidR="00A64C9D">
        <w:rPr>
          <w:rFonts w:ascii="Arial" w:hAnsi="Arial" w:cs="Arial"/>
          <w:sz w:val="22"/>
          <w:szCs w:val="22"/>
        </w:rPr>
        <w:t xml:space="preserve">donors </w:t>
      </w:r>
      <w:r w:rsidR="009C7927">
        <w:rPr>
          <w:rFonts w:ascii="Arial" w:hAnsi="Arial" w:cs="Arial"/>
          <w:sz w:val="22"/>
          <w:szCs w:val="22"/>
        </w:rPr>
        <w:t>and</w:t>
      </w:r>
      <w:r w:rsidRPr="00842625">
        <w:rPr>
          <w:rFonts w:ascii="Arial" w:hAnsi="Arial" w:cs="Arial"/>
          <w:sz w:val="22"/>
          <w:szCs w:val="22"/>
        </w:rPr>
        <w:t xml:space="preserve"> vendors in the event of a data breach.</w:t>
      </w:r>
    </w:p>
    <w:p w14:paraId="13D2A012" w14:textId="77777777" w:rsidR="0022476A" w:rsidRPr="00842625" w:rsidRDefault="0022476A" w:rsidP="0022476A">
      <w:pPr>
        <w:pStyle w:val="BodyBullet1"/>
        <w:numPr>
          <w:ilvl w:val="0"/>
          <w:numId w:val="0"/>
        </w:numPr>
        <w:ind w:left="720" w:firstLine="720"/>
        <w:jc w:val="both"/>
        <w:rPr>
          <w:rFonts w:ascii="Arial" w:hAnsi="Arial" w:cs="Arial"/>
          <w:sz w:val="22"/>
          <w:szCs w:val="22"/>
        </w:rPr>
      </w:pPr>
      <w:r w:rsidRPr="00842625">
        <w:rPr>
          <w:rFonts w:ascii="Arial" w:hAnsi="Arial" w:cs="Arial"/>
          <w:sz w:val="22"/>
          <w:szCs w:val="22"/>
        </w:rPr>
        <w:t>6.</w:t>
      </w:r>
      <w:r w:rsidRPr="00842625">
        <w:rPr>
          <w:rFonts w:ascii="Arial" w:hAnsi="Arial" w:cs="Arial"/>
          <w:sz w:val="22"/>
          <w:szCs w:val="22"/>
        </w:rPr>
        <w:tab/>
        <w:t>The IRP must also cover interactions with vendors, contractors and strategic partners.</w:t>
      </w:r>
    </w:p>
    <w:p w14:paraId="13D2A013" w14:textId="77777777" w:rsidR="0022476A" w:rsidRPr="00842625" w:rsidRDefault="0022476A" w:rsidP="0022476A">
      <w:pPr>
        <w:keepNext/>
        <w:keepLines/>
        <w:ind w:left="720"/>
        <w:jc w:val="both"/>
        <w:rPr>
          <w:rFonts w:ascii="Arial" w:hAnsi="Arial" w:cs="Arial"/>
          <w:sz w:val="22"/>
          <w:szCs w:val="22"/>
        </w:rPr>
      </w:pPr>
    </w:p>
    <w:p w14:paraId="13D2A014" w14:textId="77777777" w:rsidR="00ED111A" w:rsidRPr="00842625" w:rsidRDefault="00ED111A" w:rsidP="00ED111A">
      <w:pPr>
        <w:pStyle w:val="BodyBullet1"/>
        <w:numPr>
          <w:ilvl w:val="0"/>
          <w:numId w:val="0"/>
        </w:numPr>
        <w:jc w:val="both"/>
        <w:rPr>
          <w:rFonts w:ascii="Arial" w:hAnsi="Arial" w:cs="Arial"/>
          <w:sz w:val="22"/>
          <w:szCs w:val="22"/>
        </w:rPr>
      </w:pPr>
    </w:p>
    <w:p w14:paraId="13D2A015" w14:textId="77777777" w:rsidR="00E43FAA" w:rsidRPr="00842625" w:rsidRDefault="00E43FAA" w:rsidP="00ED111A">
      <w:pPr>
        <w:pStyle w:val="BodyBullet1"/>
        <w:numPr>
          <w:ilvl w:val="0"/>
          <w:numId w:val="0"/>
        </w:numPr>
        <w:jc w:val="both"/>
        <w:rPr>
          <w:rFonts w:ascii="Arial" w:hAnsi="Arial" w:cs="Arial"/>
          <w:sz w:val="22"/>
          <w:szCs w:val="22"/>
        </w:rPr>
      </w:pPr>
    </w:p>
    <w:p w14:paraId="13D2A016" w14:textId="77777777" w:rsidR="00D76836" w:rsidRPr="00842625" w:rsidRDefault="00D76836" w:rsidP="00D76836">
      <w:pPr>
        <w:keepNext/>
        <w:keepLines/>
        <w:ind w:left="720" w:firstLine="720"/>
        <w:jc w:val="both"/>
        <w:rPr>
          <w:rFonts w:ascii="Arial" w:hAnsi="Arial" w:cs="Arial"/>
          <w:sz w:val="22"/>
          <w:szCs w:val="22"/>
        </w:rPr>
      </w:pPr>
    </w:p>
    <w:p w14:paraId="13D2A017" w14:textId="77777777" w:rsidR="00A82C7E" w:rsidRPr="00842625" w:rsidRDefault="0022476A" w:rsidP="00A82C7E">
      <w:pPr>
        <w:jc w:val="both"/>
        <w:rPr>
          <w:rFonts w:ascii="Arial" w:hAnsi="Arial" w:cs="Arial"/>
          <w:b/>
          <w:sz w:val="22"/>
          <w:szCs w:val="22"/>
        </w:rPr>
      </w:pPr>
      <w:r w:rsidRPr="00842625">
        <w:rPr>
          <w:rFonts w:ascii="Arial" w:hAnsi="Arial" w:cs="Arial"/>
          <w:b/>
          <w:sz w:val="22"/>
          <w:szCs w:val="22"/>
        </w:rPr>
        <w:t xml:space="preserve">II. </w:t>
      </w:r>
      <w:r w:rsidRPr="00842625">
        <w:rPr>
          <w:rFonts w:ascii="Arial" w:hAnsi="Arial" w:cs="Arial"/>
          <w:b/>
          <w:sz w:val="22"/>
          <w:szCs w:val="22"/>
        </w:rPr>
        <w:tab/>
        <w:t>INCIDENT RESPONSE TEAM AND OTHER CONTAC</w:t>
      </w:r>
      <w:r w:rsidR="00A82C7E" w:rsidRPr="00842625">
        <w:rPr>
          <w:rFonts w:ascii="Arial" w:hAnsi="Arial" w:cs="Arial"/>
          <w:b/>
          <w:sz w:val="22"/>
          <w:szCs w:val="22"/>
        </w:rPr>
        <w:t>T</w:t>
      </w:r>
      <w:r w:rsidR="00DD59CC" w:rsidRPr="00842625">
        <w:rPr>
          <w:rFonts w:ascii="Arial" w:hAnsi="Arial" w:cs="Arial"/>
          <w:b/>
          <w:sz w:val="22"/>
          <w:szCs w:val="22"/>
        </w:rPr>
        <w:t>S</w:t>
      </w:r>
    </w:p>
    <w:p w14:paraId="13D2A018" w14:textId="77777777" w:rsidR="00A82C7E" w:rsidRPr="00842625" w:rsidRDefault="00A82C7E" w:rsidP="00A82C7E">
      <w:pPr>
        <w:jc w:val="both"/>
        <w:rPr>
          <w:rFonts w:ascii="Arial" w:hAnsi="Arial" w:cs="Arial"/>
          <w:b/>
          <w:sz w:val="22"/>
          <w:szCs w:val="22"/>
        </w:rPr>
      </w:pPr>
    </w:p>
    <w:p w14:paraId="13D2A019" w14:textId="77777777" w:rsidR="00A82C7E" w:rsidRPr="00842625" w:rsidRDefault="0022476A" w:rsidP="00A82C7E">
      <w:pPr>
        <w:ind w:firstLine="720"/>
        <w:jc w:val="both"/>
        <w:rPr>
          <w:rFonts w:ascii="Arial" w:hAnsi="Arial" w:cs="Arial"/>
          <w:b/>
          <w:sz w:val="22"/>
          <w:szCs w:val="22"/>
        </w:rPr>
      </w:pPr>
      <w:r w:rsidRPr="00842625">
        <w:rPr>
          <w:rFonts w:ascii="Arial" w:hAnsi="Arial" w:cs="Arial"/>
          <w:sz w:val="22"/>
          <w:szCs w:val="22"/>
        </w:rPr>
        <w:t>A.</w:t>
      </w:r>
      <w:r w:rsidRPr="00842625">
        <w:rPr>
          <w:rFonts w:ascii="Arial" w:hAnsi="Arial" w:cs="Arial"/>
          <w:b/>
          <w:sz w:val="22"/>
          <w:szCs w:val="22"/>
        </w:rPr>
        <w:tab/>
      </w:r>
      <w:r w:rsidRPr="00842625">
        <w:rPr>
          <w:rFonts w:ascii="Arial" w:hAnsi="Arial" w:cs="Arial"/>
          <w:caps/>
          <w:sz w:val="22"/>
          <w:szCs w:val="22"/>
          <w:u w:val="single"/>
        </w:rPr>
        <w:t>OVERVIEW</w:t>
      </w:r>
      <w:r w:rsidRPr="00842625">
        <w:rPr>
          <w:rFonts w:ascii="Arial" w:hAnsi="Arial" w:cs="Arial"/>
          <w:caps/>
          <w:sz w:val="22"/>
          <w:szCs w:val="22"/>
        </w:rPr>
        <w:t xml:space="preserve">. </w:t>
      </w:r>
    </w:p>
    <w:p w14:paraId="13D2A01A" w14:textId="77777777" w:rsidR="00A82C7E" w:rsidRPr="00842625" w:rsidRDefault="00A82C7E" w:rsidP="00A82C7E">
      <w:pPr>
        <w:ind w:firstLine="720"/>
        <w:jc w:val="both"/>
        <w:rPr>
          <w:rFonts w:ascii="Arial" w:hAnsi="Arial" w:cs="Arial"/>
          <w:sz w:val="22"/>
          <w:szCs w:val="22"/>
        </w:rPr>
      </w:pPr>
    </w:p>
    <w:p w14:paraId="13D2A01B" w14:textId="77777777" w:rsidR="00A82C7E" w:rsidRPr="00842625" w:rsidRDefault="00A82C7E" w:rsidP="00A82C7E">
      <w:pPr>
        <w:ind w:left="720" w:firstLine="720"/>
        <w:jc w:val="both"/>
        <w:rPr>
          <w:rFonts w:ascii="Arial" w:hAnsi="Arial" w:cs="Arial"/>
          <w:sz w:val="22"/>
          <w:szCs w:val="22"/>
        </w:rPr>
      </w:pPr>
      <w:r w:rsidRPr="00842625">
        <w:rPr>
          <w:rFonts w:ascii="Arial" w:hAnsi="Arial" w:cs="Arial"/>
          <w:sz w:val="22"/>
          <w:szCs w:val="22"/>
        </w:rPr>
        <w:t>1.</w:t>
      </w:r>
      <w:r w:rsidRPr="00842625">
        <w:rPr>
          <w:rFonts w:ascii="Arial" w:hAnsi="Arial" w:cs="Arial"/>
          <w:sz w:val="22"/>
          <w:szCs w:val="22"/>
        </w:rPr>
        <w:tab/>
        <w:t>The Incident Response Team (</w:t>
      </w:r>
      <w:r w:rsidR="00A525B2">
        <w:rPr>
          <w:rFonts w:ascii="Arial" w:hAnsi="Arial" w:cs="Arial"/>
          <w:sz w:val="22"/>
          <w:szCs w:val="22"/>
        </w:rPr>
        <w:t>“</w:t>
      </w:r>
      <w:r w:rsidRPr="00842625">
        <w:rPr>
          <w:rFonts w:ascii="Arial" w:hAnsi="Arial" w:cs="Arial"/>
          <w:sz w:val="22"/>
          <w:szCs w:val="22"/>
        </w:rPr>
        <w:t>IRT</w:t>
      </w:r>
      <w:r w:rsidR="00A525B2">
        <w:rPr>
          <w:rFonts w:ascii="Arial" w:hAnsi="Arial" w:cs="Arial"/>
          <w:sz w:val="22"/>
          <w:szCs w:val="22"/>
        </w:rPr>
        <w:t>”</w:t>
      </w:r>
      <w:r w:rsidRPr="00842625">
        <w:rPr>
          <w:rFonts w:ascii="Arial" w:hAnsi="Arial" w:cs="Arial"/>
          <w:sz w:val="22"/>
          <w:szCs w:val="22"/>
        </w:rPr>
        <w:t xml:space="preserve">) typically operates under the authority of the </w:t>
      </w:r>
      <w:r w:rsidR="006579BD">
        <w:rPr>
          <w:rFonts w:ascii="Arial" w:hAnsi="Arial" w:cs="Arial"/>
          <w:sz w:val="22"/>
          <w:szCs w:val="22"/>
        </w:rPr>
        <w:t>Board of Trustees</w:t>
      </w:r>
      <w:r w:rsidRPr="00842625">
        <w:rPr>
          <w:rFonts w:ascii="Arial" w:hAnsi="Arial" w:cs="Arial"/>
          <w:sz w:val="22"/>
          <w:szCs w:val="22"/>
        </w:rPr>
        <w:t xml:space="preserve"> of </w:t>
      </w:r>
      <w:r w:rsidR="00063FA2" w:rsidRPr="00842625">
        <w:rPr>
          <w:rFonts w:ascii="Arial" w:hAnsi="Arial" w:cs="Arial"/>
          <w:sz w:val="22"/>
          <w:szCs w:val="22"/>
        </w:rPr>
        <w:t xml:space="preserve">the </w:t>
      </w:r>
      <w:r w:rsidR="00A64C9D">
        <w:rPr>
          <w:rFonts w:ascii="Arial" w:hAnsi="Arial" w:cs="Arial"/>
          <w:sz w:val="22"/>
          <w:szCs w:val="22"/>
        </w:rPr>
        <w:t>Organization</w:t>
      </w:r>
      <w:r w:rsidRPr="00842625">
        <w:rPr>
          <w:rFonts w:ascii="Arial" w:hAnsi="Arial" w:cs="Arial"/>
          <w:sz w:val="22"/>
          <w:szCs w:val="22"/>
        </w:rPr>
        <w:t xml:space="preserve"> to ensure data breach preparedness is a continuing priority for the entire </w:t>
      </w:r>
      <w:r w:rsidR="00A64C9D">
        <w:rPr>
          <w:rFonts w:ascii="Arial" w:hAnsi="Arial" w:cs="Arial"/>
          <w:sz w:val="22"/>
          <w:szCs w:val="22"/>
        </w:rPr>
        <w:t>Organization</w:t>
      </w:r>
      <w:r w:rsidRPr="00842625">
        <w:rPr>
          <w:rFonts w:ascii="Arial" w:hAnsi="Arial" w:cs="Arial"/>
          <w:sz w:val="22"/>
          <w:szCs w:val="22"/>
        </w:rPr>
        <w:t xml:space="preserve">.  The IRT is responsible for all phases of response to a privacy-related incident. The IRT is comprised of both team members internal to </w:t>
      </w:r>
      <w:r w:rsidR="00063FA2" w:rsidRPr="00842625">
        <w:rPr>
          <w:rFonts w:ascii="Arial" w:hAnsi="Arial" w:cs="Arial"/>
          <w:sz w:val="22"/>
          <w:szCs w:val="22"/>
        </w:rPr>
        <w:t xml:space="preserve">the </w:t>
      </w:r>
      <w:r w:rsidR="00A64C9D">
        <w:rPr>
          <w:rFonts w:ascii="Arial" w:hAnsi="Arial" w:cs="Arial"/>
          <w:sz w:val="22"/>
          <w:szCs w:val="22"/>
        </w:rPr>
        <w:t>Organization</w:t>
      </w:r>
      <w:r w:rsidR="00063FA2" w:rsidRPr="00842625">
        <w:rPr>
          <w:rFonts w:ascii="Arial" w:hAnsi="Arial" w:cs="Arial"/>
          <w:sz w:val="22"/>
          <w:szCs w:val="22"/>
        </w:rPr>
        <w:t xml:space="preserve"> and those contracted by the </w:t>
      </w:r>
      <w:r w:rsidR="00A64C9D">
        <w:rPr>
          <w:rFonts w:ascii="Arial" w:hAnsi="Arial" w:cs="Arial"/>
          <w:sz w:val="22"/>
          <w:szCs w:val="22"/>
        </w:rPr>
        <w:t>Organization</w:t>
      </w:r>
      <w:r w:rsidRPr="00842625">
        <w:rPr>
          <w:rFonts w:ascii="Arial" w:hAnsi="Arial" w:cs="Arial"/>
          <w:sz w:val="22"/>
          <w:szCs w:val="22"/>
        </w:rPr>
        <w:t>.</w:t>
      </w:r>
    </w:p>
    <w:p w14:paraId="13D2A01C" w14:textId="77777777" w:rsidR="00A82C7E" w:rsidRPr="00842625" w:rsidRDefault="00A82C7E" w:rsidP="00A82C7E">
      <w:pPr>
        <w:ind w:left="720" w:firstLine="720"/>
        <w:jc w:val="both"/>
        <w:rPr>
          <w:rFonts w:ascii="Arial" w:hAnsi="Arial" w:cs="Arial"/>
          <w:sz w:val="22"/>
          <w:szCs w:val="22"/>
        </w:rPr>
      </w:pPr>
    </w:p>
    <w:p w14:paraId="13D2A01D" w14:textId="77777777" w:rsidR="00C073EE" w:rsidRDefault="00A82C7E" w:rsidP="00C073EE">
      <w:pPr>
        <w:ind w:left="720" w:firstLine="720"/>
        <w:jc w:val="both"/>
        <w:rPr>
          <w:rFonts w:ascii="Arial" w:hAnsi="Arial" w:cs="Arial"/>
          <w:sz w:val="22"/>
          <w:szCs w:val="22"/>
        </w:rPr>
      </w:pPr>
      <w:r w:rsidRPr="00842625">
        <w:rPr>
          <w:rFonts w:ascii="Arial" w:hAnsi="Arial" w:cs="Arial"/>
          <w:sz w:val="22"/>
          <w:szCs w:val="22"/>
        </w:rPr>
        <w:t>2.</w:t>
      </w:r>
      <w:r w:rsidRPr="00842625">
        <w:rPr>
          <w:rFonts w:ascii="Arial" w:hAnsi="Arial" w:cs="Arial"/>
          <w:sz w:val="22"/>
          <w:szCs w:val="22"/>
        </w:rPr>
        <w:tab/>
        <w:t xml:space="preserve">There are </w:t>
      </w:r>
      <w:r w:rsidRPr="00842625">
        <w:rPr>
          <w:rFonts w:ascii="Arial" w:hAnsi="Arial" w:cs="Arial"/>
          <w:sz w:val="22"/>
          <w:szCs w:val="22"/>
          <w:u w:val="single"/>
        </w:rPr>
        <w:t>four</w:t>
      </w:r>
      <w:r w:rsidRPr="00842625">
        <w:rPr>
          <w:rFonts w:ascii="Arial" w:hAnsi="Arial" w:cs="Arial"/>
          <w:sz w:val="22"/>
          <w:szCs w:val="22"/>
        </w:rPr>
        <w:t xml:space="preserve"> phases to the Incident Response Process:</w:t>
      </w:r>
    </w:p>
    <w:p w14:paraId="13D2A01E" w14:textId="77777777" w:rsidR="00C073EE" w:rsidRDefault="00C073EE" w:rsidP="00C073EE">
      <w:pPr>
        <w:ind w:left="720" w:firstLine="720"/>
        <w:jc w:val="both"/>
        <w:rPr>
          <w:rFonts w:ascii="Arial" w:hAnsi="Arial" w:cs="Arial"/>
          <w:sz w:val="22"/>
          <w:szCs w:val="22"/>
        </w:rPr>
      </w:pPr>
    </w:p>
    <w:p w14:paraId="13D2A01F" w14:textId="77777777" w:rsidR="00C073EE" w:rsidRDefault="00842625" w:rsidP="00C073EE">
      <w:pPr>
        <w:ind w:left="1440" w:firstLine="720"/>
        <w:jc w:val="both"/>
        <w:rPr>
          <w:rFonts w:ascii="Arial" w:hAnsi="Arial" w:cs="Arial"/>
          <w:sz w:val="22"/>
          <w:szCs w:val="22"/>
        </w:rPr>
      </w:pPr>
      <w:r w:rsidRPr="00842625">
        <w:rPr>
          <w:rFonts w:ascii="Arial" w:hAnsi="Arial" w:cs="Arial"/>
          <w:sz w:val="22"/>
          <w:szCs w:val="22"/>
        </w:rPr>
        <w:t>a.</w:t>
      </w:r>
      <w:r w:rsidRPr="00842625">
        <w:rPr>
          <w:rFonts w:ascii="Arial" w:hAnsi="Arial" w:cs="Arial"/>
          <w:sz w:val="22"/>
          <w:szCs w:val="22"/>
        </w:rPr>
        <w:tab/>
      </w:r>
      <w:r w:rsidR="00BD666D">
        <w:rPr>
          <w:rFonts w:ascii="Arial" w:hAnsi="Arial" w:cs="Arial"/>
          <w:b/>
          <w:sz w:val="22"/>
          <w:szCs w:val="22"/>
        </w:rPr>
        <w:t xml:space="preserve">1) </w:t>
      </w:r>
      <w:r w:rsidR="00BD666D">
        <w:rPr>
          <w:rFonts w:ascii="Arial" w:hAnsi="Arial" w:cs="Arial"/>
          <w:sz w:val="22"/>
          <w:szCs w:val="22"/>
        </w:rPr>
        <w:t xml:space="preserve"> </w:t>
      </w:r>
      <w:r w:rsidRPr="00BD666D">
        <w:rPr>
          <w:rFonts w:ascii="Arial" w:hAnsi="Arial" w:cs="Arial"/>
          <w:b/>
          <w:sz w:val="22"/>
          <w:szCs w:val="22"/>
        </w:rPr>
        <w:t>DISCOVERY</w:t>
      </w:r>
      <w:r w:rsidRPr="00842625">
        <w:rPr>
          <w:rFonts w:ascii="Arial" w:hAnsi="Arial" w:cs="Arial"/>
          <w:sz w:val="22"/>
          <w:szCs w:val="22"/>
        </w:rPr>
        <w:t xml:space="preserve"> – occurs when an incident is reported.</w:t>
      </w:r>
    </w:p>
    <w:p w14:paraId="13D2A020" w14:textId="77777777" w:rsidR="00C073EE" w:rsidRDefault="00C073EE" w:rsidP="00C073EE">
      <w:pPr>
        <w:ind w:left="1440" w:firstLine="720"/>
        <w:jc w:val="both"/>
        <w:rPr>
          <w:rFonts w:ascii="Arial" w:hAnsi="Arial" w:cs="Arial"/>
          <w:sz w:val="22"/>
          <w:szCs w:val="22"/>
        </w:rPr>
      </w:pPr>
    </w:p>
    <w:p w14:paraId="13D2A021" w14:textId="77777777" w:rsidR="00842625" w:rsidRDefault="00842625" w:rsidP="00C073EE">
      <w:pPr>
        <w:ind w:left="2880" w:hanging="720"/>
        <w:jc w:val="both"/>
        <w:rPr>
          <w:rFonts w:ascii="Arial" w:hAnsi="Arial" w:cs="Arial"/>
          <w:sz w:val="22"/>
          <w:szCs w:val="22"/>
        </w:rPr>
      </w:pPr>
      <w:r w:rsidRPr="00842625">
        <w:rPr>
          <w:rFonts w:ascii="Arial" w:hAnsi="Arial" w:cs="Arial"/>
          <w:sz w:val="22"/>
          <w:szCs w:val="22"/>
        </w:rPr>
        <w:t>b.</w:t>
      </w:r>
      <w:r w:rsidRPr="00842625">
        <w:rPr>
          <w:rFonts w:ascii="Arial" w:hAnsi="Arial" w:cs="Arial"/>
          <w:sz w:val="22"/>
          <w:szCs w:val="22"/>
        </w:rPr>
        <w:tab/>
      </w:r>
      <w:r w:rsidR="00BD666D" w:rsidRPr="00BD666D">
        <w:rPr>
          <w:rFonts w:ascii="Arial" w:hAnsi="Arial" w:cs="Arial"/>
          <w:b/>
          <w:sz w:val="22"/>
          <w:szCs w:val="22"/>
        </w:rPr>
        <w:t>2)</w:t>
      </w:r>
      <w:r w:rsidR="00BD666D">
        <w:rPr>
          <w:rFonts w:ascii="Arial" w:hAnsi="Arial" w:cs="Arial"/>
          <w:sz w:val="22"/>
          <w:szCs w:val="22"/>
        </w:rPr>
        <w:t xml:space="preserve"> </w:t>
      </w:r>
      <w:r w:rsidRPr="00BD666D">
        <w:rPr>
          <w:rFonts w:ascii="Arial" w:hAnsi="Arial" w:cs="Arial"/>
          <w:b/>
          <w:sz w:val="22"/>
          <w:szCs w:val="22"/>
        </w:rPr>
        <w:t>INVESTIGATION</w:t>
      </w:r>
      <w:r w:rsidRPr="00842625">
        <w:rPr>
          <w:rFonts w:ascii="Arial" w:hAnsi="Arial" w:cs="Arial"/>
          <w:sz w:val="22"/>
          <w:szCs w:val="22"/>
        </w:rPr>
        <w:t xml:space="preserve"> – occurs when the Discovery phase establishes a likelihood that the incident is an actionable data breach.</w:t>
      </w:r>
    </w:p>
    <w:p w14:paraId="13D2A022" w14:textId="77777777" w:rsidR="00D00744" w:rsidRDefault="00D00744" w:rsidP="00C073EE">
      <w:pPr>
        <w:ind w:left="2880" w:hanging="720"/>
        <w:jc w:val="both"/>
        <w:rPr>
          <w:rFonts w:ascii="Arial" w:hAnsi="Arial" w:cs="Arial"/>
          <w:sz w:val="22"/>
          <w:szCs w:val="22"/>
        </w:rPr>
      </w:pPr>
    </w:p>
    <w:p w14:paraId="13D2A023" w14:textId="77777777" w:rsidR="00D00744" w:rsidRPr="00842625" w:rsidRDefault="00D00744" w:rsidP="00D00744">
      <w:pPr>
        <w:keepNext/>
        <w:keepLines/>
        <w:ind w:left="2880" w:hanging="720"/>
        <w:jc w:val="both"/>
        <w:rPr>
          <w:rFonts w:ascii="Arial" w:hAnsi="Arial" w:cs="Arial"/>
          <w:sz w:val="22"/>
          <w:szCs w:val="22"/>
        </w:rPr>
      </w:pPr>
      <w:r w:rsidRPr="00842625">
        <w:rPr>
          <w:rFonts w:ascii="Arial" w:hAnsi="Arial" w:cs="Arial"/>
          <w:sz w:val="22"/>
          <w:szCs w:val="22"/>
        </w:rPr>
        <w:t>c.</w:t>
      </w:r>
      <w:r w:rsidRPr="00842625">
        <w:rPr>
          <w:rFonts w:ascii="Arial" w:hAnsi="Arial" w:cs="Arial"/>
          <w:sz w:val="22"/>
          <w:szCs w:val="22"/>
        </w:rPr>
        <w:tab/>
      </w:r>
      <w:r w:rsidR="00BD666D" w:rsidRPr="00BD666D">
        <w:rPr>
          <w:rFonts w:ascii="Arial" w:hAnsi="Arial" w:cs="Arial"/>
          <w:b/>
          <w:sz w:val="22"/>
          <w:szCs w:val="22"/>
        </w:rPr>
        <w:t xml:space="preserve">3) </w:t>
      </w:r>
      <w:r w:rsidRPr="00BD666D">
        <w:rPr>
          <w:rFonts w:ascii="Arial" w:hAnsi="Arial" w:cs="Arial"/>
          <w:b/>
          <w:sz w:val="22"/>
          <w:szCs w:val="22"/>
        </w:rPr>
        <w:t>RESPONSE</w:t>
      </w:r>
      <w:r w:rsidRPr="00842625">
        <w:rPr>
          <w:rFonts w:ascii="Arial" w:hAnsi="Arial" w:cs="Arial"/>
          <w:sz w:val="22"/>
          <w:szCs w:val="22"/>
        </w:rPr>
        <w:t xml:space="preserve"> – occurs when a data breach requires the </w:t>
      </w:r>
      <w:r w:rsidR="00A64C9D">
        <w:rPr>
          <w:rFonts w:ascii="Arial" w:hAnsi="Arial" w:cs="Arial"/>
          <w:sz w:val="22"/>
          <w:szCs w:val="22"/>
        </w:rPr>
        <w:t>Organization</w:t>
      </w:r>
      <w:r w:rsidRPr="00842625">
        <w:rPr>
          <w:rFonts w:ascii="Arial" w:hAnsi="Arial" w:cs="Arial"/>
          <w:sz w:val="22"/>
          <w:szCs w:val="22"/>
        </w:rPr>
        <w:t xml:space="preserve"> take further action to protect the organization and affected individuals whose Personal Information (</w:t>
      </w:r>
      <w:r w:rsidR="0092275F">
        <w:rPr>
          <w:rFonts w:ascii="Arial" w:hAnsi="Arial" w:cs="Arial"/>
          <w:sz w:val="22"/>
          <w:szCs w:val="22"/>
        </w:rPr>
        <w:t>PII</w:t>
      </w:r>
      <w:r w:rsidRPr="00842625">
        <w:rPr>
          <w:rFonts w:ascii="Arial" w:hAnsi="Arial" w:cs="Arial"/>
          <w:sz w:val="22"/>
          <w:szCs w:val="22"/>
        </w:rPr>
        <w:t>) and/or Protected Health Information (PHI) is at risk or has been compromised.</w:t>
      </w:r>
    </w:p>
    <w:p w14:paraId="13D2A024" w14:textId="77777777" w:rsidR="00D00744" w:rsidRPr="00842625" w:rsidRDefault="00D00744" w:rsidP="00D00744">
      <w:pPr>
        <w:keepNext/>
        <w:keepLines/>
        <w:ind w:left="2880" w:hanging="720"/>
        <w:jc w:val="both"/>
        <w:rPr>
          <w:rFonts w:ascii="Arial" w:hAnsi="Arial" w:cs="Arial"/>
          <w:sz w:val="22"/>
          <w:szCs w:val="22"/>
        </w:rPr>
      </w:pPr>
    </w:p>
    <w:p w14:paraId="13D2A025" w14:textId="77777777" w:rsidR="00D00744" w:rsidRDefault="00D00744" w:rsidP="00D00744">
      <w:pPr>
        <w:keepNext/>
        <w:keepLines/>
        <w:ind w:left="2880" w:hanging="720"/>
        <w:jc w:val="both"/>
        <w:rPr>
          <w:rFonts w:ascii="Arial" w:hAnsi="Arial" w:cs="Arial"/>
          <w:sz w:val="22"/>
          <w:szCs w:val="22"/>
        </w:rPr>
      </w:pPr>
      <w:r w:rsidRPr="00842625">
        <w:rPr>
          <w:rFonts w:ascii="Arial" w:hAnsi="Arial" w:cs="Arial"/>
          <w:sz w:val="22"/>
          <w:szCs w:val="22"/>
        </w:rPr>
        <w:t>d.</w:t>
      </w:r>
      <w:r w:rsidRPr="00842625">
        <w:rPr>
          <w:rFonts w:ascii="Arial" w:hAnsi="Arial" w:cs="Arial"/>
          <w:sz w:val="22"/>
          <w:szCs w:val="22"/>
        </w:rPr>
        <w:tab/>
      </w:r>
      <w:r w:rsidR="00BD666D" w:rsidRPr="00BD666D">
        <w:rPr>
          <w:rFonts w:ascii="Arial" w:hAnsi="Arial" w:cs="Arial"/>
          <w:b/>
          <w:sz w:val="22"/>
          <w:szCs w:val="22"/>
        </w:rPr>
        <w:t xml:space="preserve">4) </w:t>
      </w:r>
      <w:r w:rsidRPr="00BD666D">
        <w:rPr>
          <w:rFonts w:ascii="Arial" w:hAnsi="Arial" w:cs="Arial"/>
          <w:b/>
          <w:sz w:val="22"/>
          <w:szCs w:val="22"/>
        </w:rPr>
        <w:t>CLOSURE</w:t>
      </w:r>
      <w:r w:rsidRPr="00842625">
        <w:rPr>
          <w:rFonts w:ascii="Arial" w:hAnsi="Arial" w:cs="Arial"/>
          <w:sz w:val="22"/>
          <w:szCs w:val="22"/>
        </w:rPr>
        <w:t xml:space="preserve"> – occurs after the Response phase where the IRT has the opportunity to review the incident, the actions taken, the effectiveness of the IRP and the reaction from affected individuals.</w:t>
      </w:r>
    </w:p>
    <w:p w14:paraId="13D2A026" w14:textId="77777777" w:rsidR="00D00744" w:rsidRDefault="00D00744" w:rsidP="00D00744">
      <w:pPr>
        <w:keepNext/>
        <w:keepLines/>
        <w:ind w:left="2880" w:hanging="720"/>
        <w:jc w:val="both"/>
        <w:rPr>
          <w:rFonts w:ascii="Arial" w:hAnsi="Arial" w:cs="Arial"/>
          <w:sz w:val="22"/>
          <w:szCs w:val="22"/>
        </w:rPr>
      </w:pPr>
    </w:p>
    <w:p w14:paraId="13D2A027" w14:textId="77777777" w:rsidR="00D00744" w:rsidRPr="00842625" w:rsidRDefault="00D00744" w:rsidP="00D00744">
      <w:pPr>
        <w:keepNext/>
        <w:keepLines/>
        <w:ind w:left="720" w:firstLine="720"/>
        <w:jc w:val="both"/>
        <w:rPr>
          <w:rFonts w:ascii="Arial" w:hAnsi="Arial" w:cs="Arial"/>
          <w:sz w:val="22"/>
          <w:szCs w:val="22"/>
        </w:rPr>
      </w:pPr>
      <w:r w:rsidRPr="00842625">
        <w:rPr>
          <w:rFonts w:ascii="Arial" w:hAnsi="Arial" w:cs="Arial"/>
          <w:sz w:val="22"/>
          <w:szCs w:val="22"/>
        </w:rPr>
        <w:t>3.</w:t>
      </w:r>
      <w:r w:rsidRPr="00842625">
        <w:rPr>
          <w:rFonts w:ascii="Arial" w:hAnsi="Arial" w:cs="Arial"/>
          <w:sz w:val="22"/>
          <w:szCs w:val="22"/>
        </w:rPr>
        <w:tab/>
        <w:t xml:space="preserve">To be successful, the IRT members must have the expertise and training to respond to and manage privacy-related incidents, they must have the full support of the </w:t>
      </w:r>
      <w:r w:rsidR="006579BD">
        <w:rPr>
          <w:rFonts w:ascii="Arial" w:hAnsi="Arial" w:cs="Arial"/>
          <w:sz w:val="22"/>
          <w:szCs w:val="22"/>
        </w:rPr>
        <w:t>Board of Trustees</w:t>
      </w:r>
      <w:r w:rsidRPr="00842625">
        <w:rPr>
          <w:rFonts w:ascii="Arial" w:hAnsi="Arial" w:cs="Arial"/>
          <w:sz w:val="22"/>
          <w:szCs w:val="22"/>
        </w:rPr>
        <w:t>, and they must have access to relevant data, tools and incident reports.</w:t>
      </w:r>
    </w:p>
    <w:p w14:paraId="13D2A028" w14:textId="77777777" w:rsidR="00D00744" w:rsidRDefault="00D00744" w:rsidP="00C073EE">
      <w:pPr>
        <w:ind w:left="2880" w:hanging="720"/>
        <w:jc w:val="both"/>
        <w:rPr>
          <w:rFonts w:ascii="Arial" w:hAnsi="Arial" w:cs="Arial"/>
          <w:sz w:val="22"/>
          <w:szCs w:val="22"/>
        </w:rPr>
      </w:pPr>
    </w:p>
    <w:p w14:paraId="13D2A029" w14:textId="77777777" w:rsidR="00D47FDA" w:rsidRPr="00C073EE" w:rsidRDefault="006521D5" w:rsidP="00D47FDA">
      <w:pPr>
        <w:keepNext/>
        <w:keepLines/>
        <w:ind w:left="720"/>
        <w:jc w:val="both"/>
        <w:rPr>
          <w:rFonts w:ascii="Arial" w:hAnsi="Arial" w:cs="Arial"/>
          <w:caps/>
          <w:sz w:val="22"/>
          <w:szCs w:val="22"/>
        </w:rPr>
      </w:pPr>
      <w:r>
        <w:rPr>
          <w:rFonts w:ascii="Arial" w:hAnsi="Arial" w:cs="Arial"/>
          <w:sz w:val="22"/>
          <w:szCs w:val="22"/>
        </w:rPr>
        <w:t>B</w:t>
      </w:r>
      <w:r w:rsidR="00D47FDA" w:rsidRPr="00C073EE">
        <w:rPr>
          <w:rFonts w:ascii="Arial" w:hAnsi="Arial" w:cs="Arial"/>
          <w:sz w:val="22"/>
          <w:szCs w:val="22"/>
        </w:rPr>
        <w:t>.</w:t>
      </w:r>
      <w:r w:rsidR="00D47FDA" w:rsidRPr="00C073EE">
        <w:rPr>
          <w:rFonts w:ascii="Arial" w:hAnsi="Arial" w:cs="Arial"/>
          <w:b/>
          <w:sz w:val="22"/>
          <w:szCs w:val="22"/>
        </w:rPr>
        <w:tab/>
      </w:r>
      <w:r w:rsidR="00D47FDA" w:rsidRPr="00C073EE">
        <w:rPr>
          <w:rFonts w:ascii="Arial" w:hAnsi="Arial" w:cs="Arial"/>
          <w:caps/>
          <w:sz w:val="22"/>
          <w:szCs w:val="22"/>
          <w:u w:val="single"/>
        </w:rPr>
        <w:t>INTERNAL IRT CONTACT LIST</w:t>
      </w:r>
      <w:r w:rsidR="00D47FDA" w:rsidRPr="00C073EE">
        <w:rPr>
          <w:rFonts w:ascii="Arial" w:hAnsi="Arial" w:cs="Arial"/>
          <w:caps/>
          <w:sz w:val="22"/>
          <w:szCs w:val="22"/>
        </w:rPr>
        <w:t xml:space="preserve">. </w:t>
      </w:r>
    </w:p>
    <w:p w14:paraId="13D2A02A" w14:textId="77777777" w:rsidR="006929E2" w:rsidRPr="00C073EE" w:rsidRDefault="006929E2" w:rsidP="006929E2">
      <w:pPr>
        <w:keepNext/>
        <w:keepLines/>
        <w:jc w:val="both"/>
        <w:rPr>
          <w:rFonts w:ascii="Arial" w:hAnsi="Arial" w:cs="Arial"/>
          <w:sz w:val="22"/>
          <w:szCs w:val="22"/>
        </w:rPr>
      </w:pPr>
    </w:p>
    <w:p w14:paraId="13D2A02B" w14:textId="77777777" w:rsidR="006929E2" w:rsidRPr="00C073EE" w:rsidRDefault="00DB52FB" w:rsidP="006929E2">
      <w:pPr>
        <w:keepNext/>
        <w:keepLines/>
        <w:jc w:val="both"/>
        <w:rPr>
          <w:rFonts w:ascii="Arial" w:hAnsi="Arial" w:cs="Arial"/>
          <w:sz w:val="22"/>
          <w:szCs w:val="22"/>
        </w:rPr>
      </w:pPr>
      <w:r w:rsidRPr="00C073EE">
        <w:rPr>
          <w:rFonts w:ascii="Arial" w:hAnsi="Arial" w:cs="Arial"/>
          <w:sz w:val="22"/>
          <w:szCs w:val="22"/>
        </w:rPr>
        <w:tab/>
      </w:r>
      <w:r w:rsidRPr="00C073EE">
        <w:rPr>
          <w:rFonts w:ascii="Arial" w:hAnsi="Arial" w:cs="Arial"/>
          <w:sz w:val="22"/>
          <w:szCs w:val="22"/>
        </w:rPr>
        <w:tab/>
        <w:t>1.</w:t>
      </w:r>
      <w:r w:rsidRPr="00C073EE">
        <w:rPr>
          <w:rFonts w:ascii="Arial" w:hAnsi="Arial" w:cs="Arial"/>
          <w:sz w:val="22"/>
          <w:szCs w:val="22"/>
        </w:rPr>
        <w:tab/>
        <w:t>IRT Leader</w:t>
      </w:r>
    </w:p>
    <w:p w14:paraId="13D2A02C" w14:textId="77777777" w:rsidR="00A82C7E" w:rsidRPr="00C073EE" w:rsidRDefault="00A82C7E" w:rsidP="00A82C7E">
      <w:pPr>
        <w:rPr>
          <w:rFonts w:ascii="Arial" w:hAnsi="Arial" w:cs="Arial"/>
          <w:b/>
          <w:i/>
        </w:rPr>
      </w:pPr>
    </w:p>
    <w:tbl>
      <w:tblPr>
        <w:tblStyle w:val="TableGrid"/>
        <w:tblW w:w="0" w:type="auto"/>
        <w:shd w:val="clear" w:color="auto" w:fill="95B3D7" w:themeFill="accent1" w:themeFillTint="99"/>
        <w:tblLook w:val="04A0" w:firstRow="1" w:lastRow="0" w:firstColumn="1" w:lastColumn="0" w:noHBand="0" w:noVBand="1"/>
      </w:tblPr>
      <w:tblGrid>
        <w:gridCol w:w="2338"/>
        <w:gridCol w:w="1199"/>
        <w:gridCol w:w="1226"/>
        <w:gridCol w:w="2252"/>
        <w:gridCol w:w="2335"/>
      </w:tblGrid>
      <w:tr w:rsidR="00A82C7E" w:rsidRPr="00C073EE" w14:paraId="13D2A02F" w14:textId="77777777" w:rsidTr="00A82C7E">
        <w:tc>
          <w:tcPr>
            <w:tcW w:w="3618" w:type="dxa"/>
            <w:gridSpan w:val="2"/>
            <w:tcBorders>
              <w:bottom w:val="single" w:sz="4" w:space="0" w:color="auto"/>
            </w:tcBorders>
            <w:shd w:val="clear" w:color="auto" w:fill="95B3D7" w:themeFill="accent1" w:themeFillTint="99"/>
          </w:tcPr>
          <w:p w14:paraId="13D2A02D" w14:textId="77777777" w:rsidR="00A82C7E" w:rsidRPr="00C073EE" w:rsidRDefault="00CD2017" w:rsidP="00CD2017">
            <w:pPr>
              <w:rPr>
                <w:rFonts w:ascii="Arial" w:hAnsi="Arial" w:cs="Arial"/>
                <w:i/>
                <w:color w:val="FFFFFF" w:themeColor="background1"/>
                <w:sz w:val="22"/>
                <w:szCs w:val="22"/>
              </w:rPr>
            </w:pPr>
            <w:r>
              <w:rPr>
                <w:rFonts w:ascii="Arial" w:hAnsi="Arial" w:cs="Arial"/>
                <w:i/>
                <w:color w:val="FFFFFF" w:themeColor="background1"/>
                <w:sz w:val="22"/>
                <w:szCs w:val="22"/>
              </w:rPr>
              <w:t>IRT Leader</w:t>
            </w:r>
          </w:p>
        </w:tc>
        <w:tc>
          <w:tcPr>
            <w:tcW w:w="5958" w:type="dxa"/>
            <w:gridSpan w:val="3"/>
            <w:tcBorders>
              <w:bottom w:val="single" w:sz="4" w:space="0" w:color="auto"/>
            </w:tcBorders>
            <w:shd w:val="clear" w:color="auto" w:fill="auto"/>
          </w:tcPr>
          <w:p w14:paraId="13D2A02E" w14:textId="77777777" w:rsidR="00A82C7E" w:rsidRPr="00C073EE" w:rsidRDefault="00A64C9D" w:rsidP="00A82C7E">
            <w:pPr>
              <w:rPr>
                <w:rFonts w:ascii="Arial" w:hAnsi="Arial" w:cs="Arial"/>
                <w:color w:val="FFFFFF" w:themeColor="background1"/>
                <w:sz w:val="22"/>
                <w:szCs w:val="22"/>
              </w:rPr>
            </w:pPr>
            <w:r>
              <w:rPr>
                <w:rFonts w:ascii="Arial" w:hAnsi="Arial" w:cs="Arial"/>
                <w:color w:val="000000" w:themeColor="text1"/>
                <w:sz w:val="22"/>
                <w:szCs w:val="22"/>
              </w:rPr>
              <w:t>Organization</w:t>
            </w:r>
            <w:r w:rsidR="00A82C7E" w:rsidRPr="00C073EE">
              <w:rPr>
                <w:rFonts w:ascii="Arial" w:hAnsi="Arial" w:cs="Arial"/>
                <w:color w:val="000000" w:themeColor="text1"/>
                <w:sz w:val="22"/>
                <w:szCs w:val="22"/>
              </w:rPr>
              <w:t>:</w:t>
            </w:r>
          </w:p>
        </w:tc>
      </w:tr>
      <w:tr w:rsidR="00A82C7E" w:rsidRPr="00C073EE" w14:paraId="13D2A033" w14:textId="77777777" w:rsidTr="00A82C7E">
        <w:trPr>
          <w:trHeight w:val="548"/>
        </w:trPr>
        <w:tc>
          <w:tcPr>
            <w:tcW w:w="3618" w:type="dxa"/>
            <w:gridSpan w:val="2"/>
            <w:tcBorders>
              <w:bottom w:val="single" w:sz="4" w:space="0" w:color="auto"/>
            </w:tcBorders>
            <w:shd w:val="clear" w:color="auto" w:fill="B8CCE4" w:themeFill="accent1" w:themeFillTint="66"/>
          </w:tcPr>
          <w:p w14:paraId="13D2A030" w14:textId="77777777" w:rsidR="00A82C7E" w:rsidRPr="00C073EE" w:rsidRDefault="00A82C7E" w:rsidP="00A82C7E">
            <w:pPr>
              <w:rPr>
                <w:rFonts w:ascii="Arial" w:hAnsi="Arial" w:cs="Arial"/>
                <w:sz w:val="22"/>
                <w:szCs w:val="22"/>
              </w:rPr>
            </w:pPr>
            <w:r w:rsidRPr="00C073EE">
              <w:rPr>
                <w:rFonts w:ascii="Arial" w:hAnsi="Arial" w:cs="Arial"/>
                <w:sz w:val="22"/>
                <w:szCs w:val="22"/>
              </w:rPr>
              <w:t>Name:</w:t>
            </w:r>
          </w:p>
          <w:p w14:paraId="13D2A031" w14:textId="77777777" w:rsidR="00A82C7E" w:rsidRPr="00C073EE" w:rsidRDefault="00A82C7E" w:rsidP="00A82C7E">
            <w:pPr>
              <w:rPr>
                <w:rFonts w:ascii="Arial" w:hAnsi="Arial" w:cs="Arial"/>
                <w:sz w:val="22"/>
                <w:szCs w:val="22"/>
              </w:rPr>
            </w:pPr>
          </w:p>
        </w:tc>
        <w:tc>
          <w:tcPr>
            <w:tcW w:w="5958" w:type="dxa"/>
            <w:gridSpan w:val="3"/>
            <w:tcBorders>
              <w:bottom w:val="single" w:sz="4" w:space="0" w:color="auto"/>
            </w:tcBorders>
            <w:shd w:val="clear" w:color="auto" w:fill="B8CCE4" w:themeFill="accent1" w:themeFillTint="66"/>
          </w:tcPr>
          <w:p w14:paraId="13D2A032" w14:textId="77777777" w:rsidR="00A82C7E" w:rsidRPr="00C073EE" w:rsidRDefault="00A82C7E" w:rsidP="00A82C7E">
            <w:pPr>
              <w:rPr>
                <w:rFonts w:ascii="Arial" w:hAnsi="Arial" w:cs="Arial"/>
                <w:sz w:val="22"/>
                <w:szCs w:val="22"/>
              </w:rPr>
            </w:pPr>
            <w:r w:rsidRPr="00C073EE">
              <w:rPr>
                <w:rFonts w:ascii="Arial" w:hAnsi="Arial" w:cs="Arial"/>
                <w:sz w:val="22"/>
                <w:szCs w:val="22"/>
              </w:rPr>
              <w:t>Title:</w:t>
            </w:r>
          </w:p>
        </w:tc>
      </w:tr>
      <w:tr w:rsidR="00A82C7E" w:rsidRPr="00C073EE" w14:paraId="13D2A03B" w14:textId="77777777" w:rsidTr="00A82C7E">
        <w:trPr>
          <w:trHeight w:val="548"/>
        </w:trPr>
        <w:tc>
          <w:tcPr>
            <w:tcW w:w="2394" w:type="dxa"/>
            <w:shd w:val="clear" w:color="auto" w:fill="DBE5F1" w:themeFill="accent1" w:themeFillTint="33"/>
          </w:tcPr>
          <w:p w14:paraId="13D2A034" w14:textId="77777777" w:rsidR="00A82C7E" w:rsidRPr="00C073EE" w:rsidRDefault="00A82C7E" w:rsidP="00A82C7E">
            <w:pPr>
              <w:rPr>
                <w:rFonts w:ascii="Arial" w:hAnsi="Arial" w:cs="Arial"/>
                <w:sz w:val="22"/>
                <w:szCs w:val="22"/>
              </w:rPr>
            </w:pPr>
            <w:r w:rsidRPr="00C073EE">
              <w:rPr>
                <w:rFonts w:ascii="Arial" w:hAnsi="Arial" w:cs="Arial"/>
                <w:sz w:val="22"/>
                <w:szCs w:val="22"/>
              </w:rPr>
              <w:t>Mobile Phone:</w:t>
            </w:r>
          </w:p>
        </w:tc>
        <w:tc>
          <w:tcPr>
            <w:tcW w:w="2484" w:type="dxa"/>
            <w:gridSpan w:val="2"/>
            <w:shd w:val="clear" w:color="auto" w:fill="DBE5F1" w:themeFill="accent1" w:themeFillTint="33"/>
          </w:tcPr>
          <w:p w14:paraId="13D2A035" w14:textId="77777777" w:rsidR="00A82C7E" w:rsidRPr="00C073EE" w:rsidRDefault="00A82C7E" w:rsidP="00A82C7E">
            <w:pPr>
              <w:rPr>
                <w:rFonts w:ascii="Arial" w:hAnsi="Arial" w:cs="Arial"/>
                <w:sz w:val="22"/>
                <w:szCs w:val="22"/>
              </w:rPr>
            </w:pPr>
            <w:r w:rsidRPr="00C073EE">
              <w:rPr>
                <w:rFonts w:ascii="Arial" w:hAnsi="Arial" w:cs="Arial"/>
                <w:sz w:val="22"/>
                <w:szCs w:val="22"/>
              </w:rPr>
              <w:t>Home Phone:</w:t>
            </w:r>
          </w:p>
        </w:tc>
        <w:tc>
          <w:tcPr>
            <w:tcW w:w="2304" w:type="dxa"/>
            <w:shd w:val="clear" w:color="auto" w:fill="DBE5F1" w:themeFill="accent1" w:themeFillTint="33"/>
          </w:tcPr>
          <w:p w14:paraId="13D2A036" w14:textId="77777777" w:rsidR="00A82C7E" w:rsidRPr="00C073EE" w:rsidRDefault="00A82C7E" w:rsidP="00A82C7E">
            <w:pPr>
              <w:rPr>
                <w:rFonts w:ascii="Arial" w:hAnsi="Arial" w:cs="Arial"/>
                <w:sz w:val="22"/>
                <w:szCs w:val="22"/>
              </w:rPr>
            </w:pPr>
            <w:r w:rsidRPr="00C073EE">
              <w:rPr>
                <w:rFonts w:ascii="Arial" w:hAnsi="Arial" w:cs="Arial"/>
                <w:sz w:val="22"/>
                <w:szCs w:val="22"/>
              </w:rPr>
              <w:t>Office Phone:</w:t>
            </w:r>
          </w:p>
        </w:tc>
        <w:tc>
          <w:tcPr>
            <w:tcW w:w="2394" w:type="dxa"/>
            <w:shd w:val="clear" w:color="auto" w:fill="DBE5F1" w:themeFill="accent1" w:themeFillTint="33"/>
          </w:tcPr>
          <w:p w14:paraId="13D2A037" w14:textId="77777777" w:rsidR="00A82C7E" w:rsidRPr="00C073EE" w:rsidRDefault="00A82C7E" w:rsidP="00A82C7E">
            <w:pPr>
              <w:rPr>
                <w:rFonts w:ascii="Arial" w:hAnsi="Arial" w:cs="Arial"/>
                <w:sz w:val="22"/>
                <w:szCs w:val="22"/>
              </w:rPr>
            </w:pPr>
            <w:r w:rsidRPr="00C073EE">
              <w:rPr>
                <w:rFonts w:ascii="Arial" w:hAnsi="Arial" w:cs="Arial"/>
                <w:sz w:val="22"/>
                <w:szCs w:val="22"/>
              </w:rPr>
              <w:t>Email:</w:t>
            </w:r>
          </w:p>
          <w:p w14:paraId="13D2A038" w14:textId="77777777" w:rsidR="00A82C7E" w:rsidRPr="00C073EE" w:rsidRDefault="00A82C7E" w:rsidP="00A82C7E">
            <w:pPr>
              <w:rPr>
                <w:rFonts w:ascii="Arial" w:hAnsi="Arial" w:cs="Arial"/>
                <w:sz w:val="22"/>
                <w:szCs w:val="22"/>
              </w:rPr>
            </w:pPr>
          </w:p>
          <w:p w14:paraId="13D2A039" w14:textId="77777777" w:rsidR="00A82C7E" w:rsidRPr="00C073EE" w:rsidRDefault="00A82C7E" w:rsidP="00A82C7E">
            <w:pPr>
              <w:rPr>
                <w:rFonts w:ascii="Arial" w:hAnsi="Arial" w:cs="Arial"/>
                <w:sz w:val="22"/>
                <w:szCs w:val="22"/>
              </w:rPr>
            </w:pPr>
          </w:p>
          <w:p w14:paraId="13D2A03A" w14:textId="77777777" w:rsidR="00A82C7E" w:rsidRPr="00C073EE" w:rsidRDefault="00A82C7E" w:rsidP="00A82C7E">
            <w:pPr>
              <w:rPr>
                <w:rFonts w:ascii="Arial" w:hAnsi="Arial" w:cs="Arial"/>
                <w:sz w:val="22"/>
                <w:szCs w:val="22"/>
              </w:rPr>
            </w:pPr>
          </w:p>
        </w:tc>
      </w:tr>
    </w:tbl>
    <w:p w14:paraId="13D2A03C" w14:textId="77777777" w:rsidR="00A82C7E" w:rsidRPr="00C073EE" w:rsidRDefault="00A82C7E" w:rsidP="00A82C7E">
      <w:pPr>
        <w:rPr>
          <w:rFonts w:ascii="Arial" w:hAnsi="Arial" w:cs="Arial"/>
          <w:sz w:val="22"/>
          <w:szCs w:val="22"/>
        </w:rPr>
      </w:pPr>
    </w:p>
    <w:p w14:paraId="13D2A03D" w14:textId="77777777" w:rsidR="00A82C7E" w:rsidRPr="0092099E" w:rsidRDefault="00A82C7E" w:rsidP="00A82C7E">
      <w:pPr>
        <w:rPr>
          <w:rFonts w:ascii="TKTypeRegular" w:hAnsi="TKTypeRegular"/>
          <w:sz w:val="22"/>
          <w:szCs w:val="22"/>
        </w:rPr>
      </w:pPr>
    </w:p>
    <w:p w14:paraId="13D2A03E" w14:textId="77777777" w:rsidR="00DB52FB" w:rsidRPr="00C073EE" w:rsidRDefault="00DB52FB" w:rsidP="00DB52FB">
      <w:pPr>
        <w:keepNext/>
        <w:keepLines/>
        <w:jc w:val="both"/>
        <w:rPr>
          <w:rFonts w:ascii="Arial" w:hAnsi="Arial" w:cs="Arial"/>
          <w:sz w:val="22"/>
          <w:szCs w:val="22"/>
        </w:rPr>
      </w:pPr>
      <w:r w:rsidRPr="00C073EE">
        <w:rPr>
          <w:rFonts w:ascii="Arial" w:hAnsi="Arial" w:cs="Arial"/>
          <w:sz w:val="22"/>
          <w:szCs w:val="22"/>
        </w:rPr>
        <w:tab/>
      </w:r>
      <w:r w:rsidRPr="00C073EE">
        <w:rPr>
          <w:rFonts w:ascii="Arial" w:hAnsi="Arial" w:cs="Arial"/>
          <w:sz w:val="22"/>
          <w:szCs w:val="22"/>
        </w:rPr>
        <w:tab/>
        <w:t>2.</w:t>
      </w:r>
      <w:r w:rsidRPr="00C073EE">
        <w:rPr>
          <w:rFonts w:ascii="Arial" w:hAnsi="Arial" w:cs="Arial"/>
          <w:sz w:val="22"/>
          <w:szCs w:val="22"/>
        </w:rPr>
        <w:tab/>
        <w:t>Executive Leaders</w:t>
      </w:r>
    </w:p>
    <w:p w14:paraId="13D2A03F" w14:textId="77777777" w:rsidR="00A82C7E" w:rsidRPr="00C073EE" w:rsidRDefault="00A82C7E" w:rsidP="00A82C7E">
      <w:pPr>
        <w:rPr>
          <w:rFonts w:ascii="Arial" w:hAnsi="Arial" w:cs="Arial"/>
          <w:i/>
          <w:color w:val="000000" w:themeColor="text1"/>
          <w:sz w:val="22"/>
          <w:szCs w:val="22"/>
        </w:rPr>
      </w:pPr>
    </w:p>
    <w:tbl>
      <w:tblPr>
        <w:tblStyle w:val="TableGrid"/>
        <w:tblW w:w="0" w:type="auto"/>
        <w:shd w:val="clear" w:color="auto" w:fill="95B3D7" w:themeFill="accent1" w:themeFillTint="99"/>
        <w:tblLook w:val="04A0" w:firstRow="1" w:lastRow="0" w:firstColumn="1" w:lastColumn="0" w:noHBand="0" w:noVBand="1"/>
      </w:tblPr>
      <w:tblGrid>
        <w:gridCol w:w="2344"/>
        <w:gridCol w:w="1199"/>
        <w:gridCol w:w="1224"/>
        <w:gridCol w:w="2250"/>
        <w:gridCol w:w="2333"/>
      </w:tblGrid>
      <w:tr w:rsidR="00A82C7E" w:rsidRPr="00C073EE" w14:paraId="13D2A042" w14:textId="77777777" w:rsidTr="00A82C7E">
        <w:tc>
          <w:tcPr>
            <w:tcW w:w="3618" w:type="dxa"/>
            <w:gridSpan w:val="2"/>
            <w:tcBorders>
              <w:bottom w:val="single" w:sz="4" w:space="0" w:color="auto"/>
            </w:tcBorders>
            <w:shd w:val="clear" w:color="auto" w:fill="FABF8F" w:themeFill="accent6" w:themeFillTint="99"/>
          </w:tcPr>
          <w:p w14:paraId="13D2A040" w14:textId="77777777" w:rsidR="00A82C7E" w:rsidRPr="00C073EE" w:rsidRDefault="00CD2017" w:rsidP="00CD2017">
            <w:pPr>
              <w:rPr>
                <w:rFonts w:ascii="Arial" w:hAnsi="Arial" w:cs="Arial"/>
                <w:i/>
                <w:color w:val="FFFFFF" w:themeColor="background1"/>
                <w:sz w:val="22"/>
                <w:szCs w:val="22"/>
              </w:rPr>
            </w:pPr>
            <w:r>
              <w:rPr>
                <w:rFonts w:ascii="Arial" w:hAnsi="Arial" w:cs="Arial"/>
                <w:i/>
                <w:color w:val="FFFFFF" w:themeColor="background1"/>
                <w:sz w:val="22"/>
                <w:szCs w:val="22"/>
              </w:rPr>
              <w:t>Executive Leader</w:t>
            </w:r>
          </w:p>
        </w:tc>
        <w:tc>
          <w:tcPr>
            <w:tcW w:w="5958" w:type="dxa"/>
            <w:gridSpan w:val="3"/>
            <w:tcBorders>
              <w:bottom w:val="single" w:sz="4" w:space="0" w:color="auto"/>
            </w:tcBorders>
            <w:shd w:val="clear" w:color="auto" w:fill="auto"/>
          </w:tcPr>
          <w:p w14:paraId="13D2A041" w14:textId="77777777" w:rsidR="00A82C7E" w:rsidRPr="00C073EE" w:rsidRDefault="00A64C9D" w:rsidP="00A82C7E">
            <w:pPr>
              <w:rPr>
                <w:rFonts w:ascii="Arial" w:hAnsi="Arial" w:cs="Arial"/>
                <w:color w:val="FFFFFF" w:themeColor="background1"/>
                <w:sz w:val="22"/>
                <w:szCs w:val="22"/>
              </w:rPr>
            </w:pPr>
            <w:r>
              <w:rPr>
                <w:rFonts w:ascii="Arial" w:hAnsi="Arial" w:cs="Arial"/>
                <w:color w:val="000000" w:themeColor="text1"/>
                <w:sz w:val="22"/>
                <w:szCs w:val="22"/>
              </w:rPr>
              <w:t>Organization</w:t>
            </w:r>
            <w:r w:rsidR="00A82C7E" w:rsidRPr="00C073EE">
              <w:rPr>
                <w:rFonts w:ascii="Arial" w:hAnsi="Arial" w:cs="Arial"/>
                <w:color w:val="000000" w:themeColor="text1"/>
                <w:sz w:val="22"/>
                <w:szCs w:val="22"/>
              </w:rPr>
              <w:t>:</w:t>
            </w:r>
          </w:p>
        </w:tc>
      </w:tr>
      <w:tr w:rsidR="00A82C7E" w:rsidRPr="00C073EE" w14:paraId="13D2A046" w14:textId="77777777" w:rsidTr="00A82C7E">
        <w:trPr>
          <w:trHeight w:val="548"/>
        </w:trPr>
        <w:tc>
          <w:tcPr>
            <w:tcW w:w="3618" w:type="dxa"/>
            <w:gridSpan w:val="2"/>
            <w:tcBorders>
              <w:bottom w:val="single" w:sz="4" w:space="0" w:color="auto"/>
            </w:tcBorders>
            <w:shd w:val="clear" w:color="auto" w:fill="FBD4B4" w:themeFill="accent6" w:themeFillTint="66"/>
          </w:tcPr>
          <w:p w14:paraId="13D2A043" w14:textId="77777777" w:rsidR="00A82C7E" w:rsidRPr="00C073EE" w:rsidRDefault="00A82C7E" w:rsidP="00A82C7E">
            <w:pPr>
              <w:rPr>
                <w:rFonts w:ascii="Arial" w:hAnsi="Arial" w:cs="Arial"/>
                <w:sz w:val="22"/>
                <w:szCs w:val="22"/>
              </w:rPr>
            </w:pPr>
            <w:r w:rsidRPr="00C073EE">
              <w:rPr>
                <w:rFonts w:ascii="Arial" w:hAnsi="Arial" w:cs="Arial"/>
                <w:sz w:val="22"/>
                <w:szCs w:val="22"/>
              </w:rPr>
              <w:lastRenderedPageBreak/>
              <w:t>Name:</w:t>
            </w:r>
          </w:p>
          <w:p w14:paraId="13D2A044" w14:textId="77777777" w:rsidR="00A82C7E" w:rsidRPr="00C073EE" w:rsidRDefault="00A82C7E" w:rsidP="00A82C7E">
            <w:pPr>
              <w:rPr>
                <w:rFonts w:ascii="Arial" w:hAnsi="Arial" w:cs="Arial"/>
                <w:sz w:val="22"/>
                <w:szCs w:val="22"/>
              </w:rPr>
            </w:pPr>
          </w:p>
        </w:tc>
        <w:tc>
          <w:tcPr>
            <w:tcW w:w="5958" w:type="dxa"/>
            <w:gridSpan w:val="3"/>
            <w:tcBorders>
              <w:bottom w:val="single" w:sz="4" w:space="0" w:color="auto"/>
            </w:tcBorders>
            <w:shd w:val="clear" w:color="auto" w:fill="FBD4B4" w:themeFill="accent6" w:themeFillTint="66"/>
          </w:tcPr>
          <w:p w14:paraId="13D2A045" w14:textId="77777777" w:rsidR="00A82C7E" w:rsidRPr="00C073EE" w:rsidRDefault="00A82C7E" w:rsidP="00A82C7E">
            <w:pPr>
              <w:rPr>
                <w:rFonts w:ascii="Arial" w:hAnsi="Arial" w:cs="Arial"/>
                <w:sz w:val="22"/>
                <w:szCs w:val="22"/>
              </w:rPr>
            </w:pPr>
            <w:r w:rsidRPr="00C073EE">
              <w:rPr>
                <w:rFonts w:ascii="Arial" w:hAnsi="Arial" w:cs="Arial"/>
                <w:sz w:val="22"/>
                <w:szCs w:val="22"/>
              </w:rPr>
              <w:t>Title:</w:t>
            </w:r>
          </w:p>
        </w:tc>
      </w:tr>
      <w:tr w:rsidR="00A82C7E" w:rsidRPr="00C073EE" w14:paraId="13D2A04E" w14:textId="77777777" w:rsidTr="00A82C7E">
        <w:trPr>
          <w:trHeight w:val="548"/>
        </w:trPr>
        <w:tc>
          <w:tcPr>
            <w:tcW w:w="2394" w:type="dxa"/>
            <w:shd w:val="clear" w:color="auto" w:fill="FDE9D9" w:themeFill="accent6" w:themeFillTint="33"/>
          </w:tcPr>
          <w:p w14:paraId="13D2A047" w14:textId="77777777" w:rsidR="00A82C7E" w:rsidRPr="00C073EE" w:rsidRDefault="00A82C7E" w:rsidP="00A82C7E">
            <w:pPr>
              <w:rPr>
                <w:rFonts w:ascii="Arial" w:hAnsi="Arial" w:cs="Arial"/>
                <w:sz w:val="22"/>
                <w:szCs w:val="22"/>
              </w:rPr>
            </w:pPr>
            <w:r w:rsidRPr="00C073EE">
              <w:rPr>
                <w:rFonts w:ascii="Arial" w:hAnsi="Arial" w:cs="Arial"/>
                <w:sz w:val="22"/>
                <w:szCs w:val="22"/>
              </w:rPr>
              <w:t>Mobile Phone:</w:t>
            </w:r>
          </w:p>
        </w:tc>
        <w:tc>
          <w:tcPr>
            <w:tcW w:w="2484" w:type="dxa"/>
            <w:gridSpan w:val="2"/>
            <w:shd w:val="clear" w:color="auto" w:fill="FDE9D9" w:themeFill="accent6" w:themeFillTint="33"/>
          </w:tcPr>
          <w:p w14:paraId="13D2A048" w14:textId="77777777" w:rsidR="00A82C7E" w:rsidRPr="00C073EE" w:rsidRDefault="00A82C7E" w:rsidP="00A82C7E">
            <w:pPr>
              <w:rPr>
                <w:rFonts w:ascii="Arial" w:hAnsi="Arial" w:cs="Arial"/>
                <w:sz w:val="22"/>
                <w:szCs w:val="22"/>
              </w:rPr>
            </w:pPr>
            <w:r w:rsidRPr="00C073EE">
              <w:rPr>
                <w:rFonts w:ascii="Arial" w:hAnsi="Arial" w:cs="Arial"/>
                <w:sz w:val="22"/>
                <w:szCs w:val="22"/>
              </w:rPr>
              <w:t>Home Phone:</w:t>
            </w:r>
          </w:p>
        </w:tc>
        <w:tc>
          <w:tcPr>
            <w:tcW w:w="2304" w:type="dxa"/>
            <w:shd w:val="clear" w:color="auto" w:fill="FDE9D9" w:themeFill="accent6" w:themeFillTint="33"/>
          </w:tcPr>
          <w:p w14:paraId="13D2A049" w14:textId="77777777" w:rsidR="00A82C7E" w:rsidRPr="00C073EE" w:rsidRDefault="00A82C7E" w:rsidP="00A82C7E">
            <w:pPr>
              <w:rPr>
                <w:rFonts w:ascii="Arial" w:hAnsi="Arial" w:cs="Arial"/>
                <w:sz w:val="22"/>
                <w:szCs w:val="22"/>
              </w:rPr>
            </w:pPr>
            <w:r w:rsidRPr="00C073EE">
              <w:rPr>
                <w:rFonts w:ascii="Arial" w:hAnsi="Arial" w:cs="Arial"/>
                <w:sz w:val="22"/>
                <w:szCs w:val="22"/>
              </w:rPr>
              <w:t>Office Phone:</w:t>
            </w:r>
          </w:p>
        </w:tc>
        <w:tc>
          <w:tcPr>
            <w:tcW w:w="2394" w:type="dxa"/>
            <w:shd w:val="clear" w:color="auto" w:fill="FDE9D9" w:themeFill="accent6" w:themeFillTint="33"/>
          </w:tcPr>
          <w:p w14:paraId="13D2A04A" w14:textId="77777777" w:rsidR="00A82C7E" w:rsidRPr="00C073EE" w:rsidRDefault="00A82C7E" w:rsidP="00A82C7E">
            <w:pPr>
              <w:rPr>
                <w:rFonts w:ascii="Arial" w:hAnsi="Arial" w:cs="Arial"/>
                <w:sz w:val="22"/>
                <w:szCs w:val="22"/>
              </w:rPr>
            </w:pPr>
            <w:r w:rsidRPr="00C073EE">
              <w:rPr>
                <w:rFonts w:ascii="Arial" w:hAnsi="Arial" w:cs="Arial"/>
                <w:sz w:val="22"/>
                <w:szCs w:val="22"/>
              </w:rPr>
              <w:t>Email:</w:t>
            </w:r>
          </w:p>
          <w:p w14:paraId="13D2A04B" w14:textId="77777777" w:rsidR="00A82C7E" w:rsidRPr="00C073EE" w:rsidRDefault="00A82C7E" w:rsidP="00A82C7E">
            <w:pPr>
              <w:rPr>
                <w:rFonts w:ascii="Arial" w:hAnsi="Arial" w:cs="Arial"/>
                <w:sz w:val="22"/>
                <w:szCs w:val="22"/>
              </w:rPr>
            </w:pPr>
          </w:p>
          <w:p w14:paraId="13D2A04C" w14:textId="77777777" w:rsidR="00A82C7E" w:rsidRPr="00C073EE" w:rsidRDefault="00A82C7E" w:rsidP="00A82C7E">
            <w:pPr>
              <w:rPr>
                <w:rFonts w:ascii="Arial" w:hAnsi="Arial" w:cs="Arial"/>
                <w:sz w:val="22"/>
                <w:szCs w:val="22"/>
              </w:rPr>
            </w:pPr>
          </w:p>
          <w:p w14:paraId="13D2A04D" w14:textId="77777777" w:rsidR="00A82C7E" w:rsidRPr="00C073EE" w:rsidRDefault="00A82C7E" w:rsidP="00A82C7E">
            <w:pPr>
              <w:rPr>
                <w:rFonts w:ascii="Arial" w:hAnsi="Arial" w:cs="Arial"/>
                <w:sz w:val="22"/>
                <w:szCs w:val="22"/>
              </w:rPr>
            </w:pPr>
          </w:p>
        </w:tc>
      </w:tr>
    </w:tbl>
    <w:p w14:paraId="13D2A04F" w14:textId="77777777" w:rsidR="00DB52FB" w:rsidRPr="00C073EE" w:rsidRDefault="00DB52FB" w:rsidP="00A82C7E">
      <w:pPr>
        <w:rPr>
          <w:rFonts w:ascii="Arial" w:hAnsi="Arial" w:cs="Arial"/>
        </w:rPr>
      </w:pPr>
    </w:p>
    <w:p w14:paraId="13D2A050" w14:textId="77777777" w:rsidR="00C073EE" w:rsidRDefault="00C073EE" w:rsidP="00DB52FB"/>
    <w:p w14:paraId="13D2A051" w14:textId="77777777" w:rsidR="006E1522" w:rsidRPr="00C073EE" w:rsidRDefault="006E1522" w:rsidP="006E1522">
      <w:pPr>
        <w:keepNext/>
        <w:keepLines/>
        <w:ind w:left="720" w:firstLine="720"/>
        <w:jc w:val="both"/>
        <w:rPr>
          <w:rFonts w:ascii="Arial" w:hAnsi="Arial" w:cs="Arial"/>
          <w:sz w:val="22"/>
          <w:szCs w:val="22"/>
        </w:rPr>
      </w:pPr>
      <w:r w:rsidRPr="00C073EE">
        <w:rPr>
          <w:rFonts w:ascii="Arial" w:hAnsi="Arial" w:cs="Arial"/>
          <w:sz w:val="22"/>
          <w:szCs w:val="22"/>
        </w:rPr>
        <w:t>3.</w:t>
      </w:r>
      <w:r w:rsidRPr="00C073EE">
        <w:rPr>
          <w:rFonts w:ascii="Arial" w:hAnsi="Arial" w:cs="Arial"/>
          <w:sz w:val="22"/>
          <w:szCs w:val="22"/>
        </w:rPr>
        <w:tab/>
      </w:r>
      <w:r>
        <w:rPr>
          <w:rFonts w:ascii="Arial" w:hAnsi="Arial" w:cs="Arial"/>
          <w:sz w:val="22"/>
          <w:szCs w:val="22"/>
        </w:rPr>
        <w:t>Insurance &amp; Risk</w:t>
      </w:r>
    </w:p>
    <w:p w14:paraId="13D2A052" w14:textId="77777777" w:rsidR="006E1522" w:rsidRPr="00C073EE" w:rsidRDefault="006E1522" w:rsidP="006E1522">
      <w:pPr>
        <w:keepNext/>
        <w:keepLines/>
        <w:jc w:val="both"/>
        <w:rPr>
          <w:rFonts w:ascii="Arial" w:hAnsi="Arial" w:cs="Arial"/>
          <w:sz w:val="22"/>
          <w:szCs w:val="22"/>
        </w:rPr>
      </w:pPr>
    </w:p>
    <w:tbl>
      <w:tblPr>
        <w:tblStyle w:val="TableGrid"/>
        <w:tblW w:w="0" w:type="auto"/>
        <w:shd w:val="clear" w:color="auto" w:fill="95B3D7" w:themeFill="accent1" w:themeFillTint="99"/>
        <w:tblLook w:val="04A0" w:firstRow="1" w:lastRow="0" w:firstColumn="1" w:lastColumn="0" w:noHBand="0" w:noVBand="1"/>
      </w:tblPr>
      <w:tblGrid>
        <w:gridCol w:w="2344"/>
        <w:gridCol w:w="1199"/>
        <w:gridCol w:w="1224"/>
        <w:gridCol w:w="2250"/>
        <w:gridCol w:w="2333"/>
      </w:tblGrid>
      <w:tr w:rsidR="006E1522" w:rsidRPr="00C073EE" w14:paraId="13D2A055" w14:textId="77777777" w:rsidTr="006E1522">
        <w:tc>
          <w:tcPr>
            <w:tcW w:w="3618" w:type="dxa"/>
            <w:gridSpan w:val="2"/>
            <w:tcBorders>
              <w:bottom w:val="single" w:sz="4" w:space="0" w:color="auto"/>
            </w:tcBorders>
            <w:shd w:val="clear" w:color="auto" w:fill="F0EA00"/>
          </w:tcPr>
          <w:p w14:paraId="13D2A053" w14:textId="77777777" w:rsidR="006E1522" w:rsidRPr="00C073EE" w:rsidRDefault="006E1522" w:rsidP="00CD2017">
            <w:pPr>
              <w:rPr>
                <w:rFonts w:ascii="Arial" w:hAnsi="Arial" w:cs="Arial"/>
                <w:i/>
                <w:color w:val="FFFFFF" w:themeColor="background1"/>
                <w:sz w:val="22"/>
                <w:szCs w:val="22"/>
              </w:rPr>
            </w:pPr>
            <w:r w:rsidRPr="006E1522">
              <w:rPr>
                <w:rFonts w:ascii="Arial" w:hAnsi="Arial" w:cs="Arial"/>
                <w:i/>
                <w:color w:val="000000" w:themeColor="text1"/>
                <w:sz w:val="22"/>
                <w:szCs w:val="22"/>
              </w:rPr>
              <w:t>Insurance &amp; Risk</w:t>
            </w:r>
          </w:p>
        </w:tc>
        <w:tc>
          <w:tcPr>
            <w:tcW w:w="5958" w:type="dxa"/>
            <w:gridSpan w:val="3"/>
            <w:tcBorders>
              <w:bottom w:val="single" w:sz="4" w:space="0" w:color="auto"/>
            </w:tcBorders>
            <w:shd w:val="clear" w:color="auto" w:fill="auto"/>
          </w:tcPr>
          <w:p w14:paraId="13D2A054" w14:textId="77777777" w:rsidR="006E1522" w:rsidRPr="00C073EE" w:rsidRDefault="00A64C9D" w:rsidP="00D77DF4">
            <w:pPr>
              <w:rPr>
                <w:rFonts w:ascii="Arial" w:hAnsi="Arial" w:cs="Arial"/>
                <w:color w:val="FFFFFF" w:themeColor="background1"/>
                <w:sz w:val="22"/>
                <w:szCs w:val="22"/>
              </w:rPr>
            </w:pPr>
            <w:r>
              <w:rPr>
                <w:rFonts w:ascii="Arial" w:hAnsi="Arial" w:cs="Arial"/>
                <w:color w:val="000000" w:themeColor="text1"/>
                <w:sz w:val="22"/>
                <w:szCs w:val="22"/>
              </w:rPr>
              <w:t>Organization</w:t>
            </w:r>
            <w:r w:rsidR="006E1522" w:rsidRPr="00C073EE">
              <w:rPr>
                <w:rFonts w:ascii="Arial" w:hAnsi="Arial" w:cs="Arial"/>
                <w:color w:val="000000" w:themeColor="text1"/>
                <w:sz w:val="22"/>
                <w:szCs w:val="22"/>
              </w:rPr>
              <w:t>:</w:t>
            </w:r>
          </w:p>
        </w:tc>
      </w:tr>
      <w:tr w:rsidR="006E1522" w:rsidRPr="00C073EE" w14:paraId="13D2A059" w14:textId="77777777" w:rsidTr="006E1522">
        <w:trPr>
          <w:trHeight w:val="548"/>
        </w:trPr>
        <w:tc>
          <w:tcPr>
            <w:tcW w:w="3618" w:type="dxa"/>
            <w:gridSpan w:val="2"/>
            <w:tcBorders>
              <w:bottom w:val="single" w:sz="4" w:space="0" w:color="auto"/>
            </w:tcBorders>
            <w:shd w:val="clear" w:color="auto" w:fill="FFFF66"/>
          </w:tcPr>
          <w:p w14:paraId="13D2A056" w14:textId="77777777" w:rsidR="006E1522" w:rsidRPr="00C073EE" w:rsidRDefault="006E1522" w:rsidP="00D77DF4">
            <w:pPr>
              <w:rPr>
                <w:rFonts w:ascii="Arial" w:hAnsi="Arial" w:cs="Arial"/>
                <w:sz w:val="22"/>
                <w:szCs w:val="22"/>
              </w:rPr>
            </w:pPr>
            <w:r w:rsidRPr="00C073EE">
              <w:rPr>
                <w:rFonts w:ascii="Arial" w:hAnsi="Arial" w:cs="Arial"/>
                <w:sz w:val="22"/>
                <w:szCs w:val="22"/>
              </w:rPr>
              <w:t>Name:</w:t>
            </w:r>
          </w:p>
          <w:p w14:paraId="13D2A057" w14:textId="77777777" w:rsidR="006E1522" w:rsidRPr="00C073EE" w:rsidRDefault="006E1522" w:rsidP="00D77DF4">
            <w:pPr>
              <w:rPr>
                <w:rFonts w:ascii="Arial" w:hAnsi="Arial" w:cs="Arial"/>
                <w:sz w:val="22"/>
                <w:szCs w:val="22"/>
              </w:rPr>
            </w:pPr>
          </w:p>
        </w:tc>
        <w:tc>
          <w:tcPr>
            <w:tcW w:w="5958" w:type="dxa"/>
            <w:gridSpan w:val="3"/>
            <w:tcBorders>
              <w:bottom w:val="single" w:sz="4" w:space="0" w:color="auto"/>
            </w:tcBorders>
            <w:shd w:val="clear" w:color="auto" w:fill="FFFF66"/>
          </w:tcPr>
          <w:p w14:paraId="13D2A058" w14:textId="77777777" w:rsidR="006E1522" w:rsidRPr="00C073EE" w:rsidRDefault="006E1522" w:rsidP="00D77DF4">
            <w:pPr>
              <w:rPr>
                <w:rFonts w:ascii="Arial" w:hAnsi="Arial" w:cs="Arial"/>
                <w:sz w:val="22"/>
                <w:szCs w:val="22"/>
              </w:rPr>
            </w:pPr>
            <w:r w:rsidRPr="00C073EE">
              <w:rPr>
                <w:rFonts w:ascii="Arial" w:hAnsi="Arial" w:cs="Arial"/>
                <w:sz w:val="22"/>
                <w:szCs w:val="22"/>
              </w:rPr>
              <w:t>Title:</w:t>
            </w:r>
          </w:p>
        </w:tc>
      </w:tr>
      <w:tr w:rsidR="006E1522" w:rsidRPr="00C073EE" w14:paraId="13D2A061" w14:textId="77777777" w:rsidTr="006E1522">
        <w:trPr>
          <w:trHeight w:val="548"/>
        </w:trPr>
        <w:tc>
          <w:tcPr>
            <w:tcW w:w="2394" w:type="dxa"/>
            <w:shd w:val="clear" w:color="auto" w:fill="FFFF99"/>
          </w:tcPr>
          <w:p w14:paraId="13D2A05A" w14:textId="77777777" w:rsidR="006E1522" w:rsidRPr="00C073EE" w:rsidRDefault="006E1522" w:rsidP="00D77DF4">
            <w:pPr>
              <w:rPr>
                <w:rFonts w:ascii="Arial" w:hAnsi="Arial" w:cs="Arial"/>
                <w:sz w:val="22"/>
                <w:szCs w:val="22"/>
              </w:rPr>
            </w:pPr>
            <w:r w:rsidRPr="00C073EE">
              <w:rPr>
                <w:rFonts w:ascii="Arial" w:hAnsi="Arial" w:cs="Arial"/>
                <w:sz w:val="22"/>
                <w:szCs w:val="22"/>
              </w:rPr>
              <w:t>Mobile Phone:</w:t>
            </w:r>
          </w:p>
        </w:tc>
        <w:tc>
          <w:tcPr>
            <w:tcW w:w="2484" w:type="dxa"/>
            <w:gridSpan w:val="2"/>
            <w:shd w:val="clear" w:color="auto" w:fill="FFFF99"/>
          </w:tcPr>
          <w:p w14:paraId="13D2A05B" w14:textId="77777777" w:rsidR="006E1522" w:rsidRPr="00C073EE" w:rsidRDefault="006E1522" w:rsidP="00D77DF4">
            <w:pPr>
              <w:rPr>
                <w:rFonts w:ascii="Arial" w:hAnsi="Arial" w:cs="Arial"/>
                <w:sz w:val="22"/>
                <w:szCs w:val="22"/>
              </w:rPr>
            </w:pPr>
            <w:r w:rsidRPr="00C073EE">
              <w:rPr>
                <w:rFonts w:ascii="Arial" w:hAnsi="Arial" w:cs="Arial"/>
                <w:sz w:val="22"/>
                <w:szCs w:val="22"/>
              </w:rPr>
              <w:t>Home Phone:</w:t>
            </w:r>
          </w:p>
        </w:tc>
        <w:tc>
          <w:tcPr>
            <w:tcW w:w="2304" w:type="dxa"/>
            <w:shd w:val="clear" w:color="auto" w:fill="FFFF99"/>
          </w:tcPr>
          <w:p w14:paraId="13D2A05C" w14:textId="77777777" w:rsidR="006E1522" w:rsidRPr="00C073EE" w:rsidRDefault="006E1522" w:rsidP="00D77DF4">
            <w:pPr>
              <w:rPr>
                <w:rFonts w:ascii="Arial" w:hAnsi="Arial" w:cs="Arial"/>
                <w:sz w:val="22"/>
                <w:szCs w:val="22"/>
              </w:rPr>
            </w:pPr>
            <w:r w:rsidRPr="00C073EE">
              <w:rPr>
                <w:rFonts w:ascii="Arial" w:hAnsi="Arial" w:cs="Arial"/>
                <w:sz w:val="22"/>
                <w:szCs w:val="22"/>
              </w:rPr>
              <w:t>Office Phone:</w:t>
            </w:r>
          </w:p>
        </w:tc>
        <w:tc>
          <w:tcPr>
            <w:tcW w:w="2394" w:type="dxa"/>
            <w:shd w:val="clear" w:color="auto" w:fill="FFFF99"/>
          </w:tcPr>
          <w:p w14:paraId="13D2A05D" w14:textId="77777777" w:rsidR="006E1522" w:rsidRPr="00C073EE" w:rsidRDefault="006E1522" w:rsidP="00D77DF4">
            <w:pPr>
              <w:rPr>
                <w:rFonts w:ascii="Arial" w:hAnsi="Arial" w:cs="Arial"/>
                <w:sz w:val="22"/>
                <w:szCs w:val="22"/>
              </w:rPr>
            </w:pPr>
            <w:r w:rsidRPr="00C073EE">
              <w:rPr>
                <w:rFonts w:ascii="Arial" w:hAnsi="Arial" w:cs="Arial"/>
                <w:sz w:val="22"/>
                <w:szCs w:val="22"/>
              </w:rPr>
              <w:t>Email:</w:t>
            </w:r>
          </w:p>
          <w:p w14:paraId="13D2A05E" w14:textId="77777777" w:rsidR="006E1522" w:rsidRPr="00C073EE" w:rsidRDefault="006E1522" w:rsidP="00D77DF4">
            <w:pPr>
              <w:rPr>
                <w:rFonts w:ascii="Arial" w:hAnsi="Arial" w:cs="Arial"/>
                <w:sz w:val="22"/>
                <w:szCs w:val="22"/>
              </w:rPr>
            </w:pPr>
          </w:p>
          <w:p w14:paraId="13D2A05F" w14:textId="77777777" w:rsidR="006E1522" w:rsidRPr="00C073EE" w:rsidRDefault="006E1522" w:rsidP="00D77DF4">
            <w:pPr>
              <w:rPr>
                <w:rFonts w:ascii="Arial" w:hAnsi="Arial" w:cs="Arial"/>
                <w:sz w:val="22"/>
                <w:szCs w:val="22"/>
              </w:rPr>
            </w:pPr>
          </w:p>
          <w:p w14:paraId="13D2A060" w14:textId="77777777" w:rsidR="006E1522" w:rsidRPr="00C073EE" w:rsidRDefault="006E1522" w:rsidP="00D77DF4">
            <w:pPr>
              <w:rPr>
                <w:rFonts w:ascii="Arial" w:hAnsi="Arial" w:cs="Arial"/>
                <w:sz w:val="22"/>
                <w:szCs w:val="22"/>
              </w:rPr>
            </w:pPr>
          </w:p>
        </w:tc>
      </w:tr>
    </w:tbl>
    <w:p w14:paraId="13D2A062" w14:textId="77777777" w:rsidR="006E1522" w:rsidRPr="00C073EE" w:rsidRDefault="006E1522" w:rsidP="006E1522">
      <w:pPr>
        <w:rPr>
          <w:rFonts w:ascii="Arial" w:hAnsi="Arial" w:cs="Arial"/>
          <w:sz w:val="22"/>
          <w:szCs w:val="22"/>
        </w:rPr>
      </w:pPr>
    </w:p>
    <w:p w14:paraId="13D2A063" w14:textId="77777777" w:rsidR="006E1522" w:rsidRDefault="006E1522" w:rsidP="0046503C">
      <w:pPr>
        <w:keepNext/>
        <w:keepLines/>
        <w:ind w:left="720" w:firstLine="720"/>
        <w:jc w:val="both"/>
        <w:rPr>
          <w:rFonts w:ascii="Arial" w:hAnsi="Arial" w:cs="Arial"/>
          <w:sz w:val="22"/>
          <w:szCs w:val="22"/>
        </w:rPr>
      </w:pPr>
    </w:p>
    <w:p w14:paraId="13D2A064" w14:textId="77777777" w:rsidR="00C073EE" w:rsidRPr="00C073EE" w:rsidRDefault="006E1522" w:rsidP="0046503C">
      <w:pPr>
        <w:keepNext/>
        <w:keepLines/>
        <w:ind w:left="720" w:firstLine="720"/>
        <w:jc w:val="both"/>
        <w:rPr>
          <w:rFonts w:ascii="Arial" w:hAnsi="Arial" w:cs="Arial"/>
          <w:sz w:val="22"/>
          <w:szCs w:val="22"/>
        </w:rPr>
      </w:pPr>
      <w:r>
        <w:rPr>
          <w:rFonts w:ascii="Arial" w:hAnsi="Arial" w:cs="Arial"/>
          <w:sz w:val="22"/>
          <w:szCs w:val="22"/>
        </w:rPr>
        <w:t>4</w:t>
      </w:r>
      <w:r w:rsidR="00C073EE" w:rsidRPr="00C073EE">
        <w:rPr>
          <w:rFonts w:ascii="Arial" w:hAnsi="Arial" w:cs="Arial"/>
          <w:sz w:val="22"/>
          <w:szCs w:val="22"/>
        </w:rPr>
        <w:t>.</w:t>
      </w:r>
      <w:r w:rsidR="00C073EE" w:rsidRPr="00C073EE">
        <w:rPr>
          <w:rFonts w:ascii="Arial" w:hAnsi="Arial" w:cs="Arial"/>
          <w:sz w:val="22"/>
          <w:szCs w:val="22"/>
        </w:rPr>
        <w:tab/>
        <w:t>Legal</w:t>
      </w:r>
    </w:p>
    <w:p w14:paraId="13D2A065" w14:textId="77777777" w:rsidR="00C073EE" w:rsidRPr="00C073EE" w:rsidRDefault="00C073EE" w:rsidP="00C073EE">
      <w:pPr>
        <w:keepNext/>
        <w:keepLines/>
        <w:jc w:val="both"/>
        <w:rPr>
          <w:rFonts w:ascii="Arial" w:hAnsi="Arial" w:cs="Arial"/>
          <w:sz w:val="22"/>
          <w:szCs w:val="22"/>
        </w:rPr>
      </w:pPr>
    </w:p>
    <w:tbl>
      <w:tblPr>
        <w:tblStyle w:val="TableGrid"/>
        <w:tblW w:w="0" w:type="auto"/>
        <w:shd w:val="clear" w:color="auto" w:fill="95B3D7" w:themeFill="accent1" w:themeFillTint="99"/>
        <w:tblLook w:val="04A0" w:firstRow="1" w:lastRow="0" w:firstColumn="1" w:lastColumn="0" w:noHBand="0" w:noVBand="1"/>
      </w:tblPr>
      <w:tblGrid>
        <w:gridCol w:w="2338"/>
        <w:gridCol w:w="1199"/>
        <w:gridCol w:w="1226"/>
        <w:gridCol w:w="2252"/>
        <w:gridCol w:w="2335"/>
      </w:tblGrid>
      <w:tr w:rsidR="00C073EE" w:rsidRPr="00C073EE" w14:paraId="13D2A068" w14:textId="77777777" w:rsidTr="003859EF">
        <w:tc>
          <w:tcPr>
            <w:tcW w:w="3618" w:type="dxa"/>
            <w:gridSpan w:val="2"/>
            <w:tcBorders>
              <w:bottom w:val="single" w:sz="4" w:space="0" w:color="auto"/>
            </w:tcBorders>
            <w:shd w:val="clear" w:color="auto" w:fill="D99594" w:themeFill="accent2" w:themeFillTint="99"/>
          </w:tcPr>
          <w:p w14:paraId="13D2A066" w14:textId="77777777" w:rsidR="00C073EE" w:rsidRPr="00C073EE" w:rsidRDefault="00CD2017" w:rsidP="00CD2017">
            <w:pPr>
              <w:rPr>
                <w:rFonts w:ascii="Arial" w:hAnsi="Arial" w:cs="Arial"/>
                <w:i/>
                <w:color w:val="FFFFFF" w:themeColor="background1"/>
                <w:sz w:val="22"/>
                <w:szCs w:val="22"/>
              </w:rPr>
            </w:pPr>
            <w:r>
              <w:rPr>
                <w:rFonts w:ascii="Arial" w:hAnsi="Arial" w:cs="Arial"/>
                <w:i/>
                <w:color w:val="FFFFFF" w:themeColor="background1"/>
                <w:sz w:val="22"/>
                <w:szCs w:val="22"/>
              </w:rPr>
              <w:t>Legal</w:t>
            </w:r>
          </w:p>
        </w:tc>
        <w:tc>
          <w:tcPr>
            <w:tcW w:w="5958" w:type="dxa"/>
            <w:gridSpan w:val="3"/>
            <w:tcBorders>
              <w:bottom w:val="single" w:sz="4" w:space="0" w:color="auto"/>
            </w:tcBorders>
            <w:shd w:val="clear" w:color="auto" w:fill="auto"/>
          </w:tcPr>
          <w:p w14:paraId="13D2A067" w14:textId="77777777" w:rsidR="00C073EE" w:rsidRPr="00C073EE" w:rsidRDefault="00A64C9D" w:rsidP="003859EF">
            <w:pPr>
              <w:rPr>
                <w:rFonts w:ascii="Arial" w:hAnsi="Arial" w:cs="Arial"/>
                <w:color w:val="FFFFFF" w:themeColor="background1"/>
                <w:sz w:val="22"/>
                <w:szCs w:val="22"/>
              </w:rPr>
            </w:pPr>
            <w:r>
              <w:rPr>
                <w:rFonts w:ascii="Arial" w:hAnsi="Arial" w:cs="Arial"/>
                <w:color w:val="000000" w:themeColor="text1"/>
                <w:sz w:val="22"/>
                <w:szCs w:val="22"/>
              </w:rPr>
              <w:t>Organization</w:t>
            </w:r>
            <w:r w:rsidR="00C073EE" w:rsidRPr="00C073EE">
              <w:rPr>
                <w:rFonts w:ascii="Arial" w:hAnsi="Arial" w:cs="Arial"/>
                <w:color w:val="000000" w:themeColor="text1"/>
                <w:sz w:val="22"/>
                <w:szCs w:val="22"/>
              </w:rPr>
              <w:t>:</w:t>
            </w:r>
          </w:p>
        </w:tc>
      </w:tr>
      <w:tr w:rsidR="00C073EE" w:rsidRPr="00C073EE" w14:paraId="13D2A06C" w14:textId="77777777" w:rsidTr="003859EF">
        <w:trPr>
          <w:trHeight w:val="548"/>
        </w:trPr>
        <w:tc>
          <w:tcPr>
            <w:tcW w:w="3618" w:type="dxa"/>
            <w:gridSpan w:val="2"/>
            <w:tcBorders>
              <w:bottom w:val="single" w:sz="4" w:space="0" w:color="auto"/>
            </w:tcBorders>
            <w:shd w:val="clear" w:color="auto" w:fill="E5B8B7" w:themeFill="accent2" w:themeFillTint="66"/>
          </w:tcPr>
          <w:p w14:paraId="13D2A069" w14:textId="77777777" w:rsidR="00C073EE" w:rsidRPr="00C073EE" w:rsidRDefault="00C073EE" w:rsidP="003859EF">
            <w:pPr>
              <w:rPr>
                <w:rFonts w:ascii="Arial" w:hAnsi="Arial" w:cs="Arial"/>
                <w:sz w:val="22"/>
                <w:szCs w:val="22"/>
              </w:rPr>
            </w:pPr>
            <w:r w:rsidRPr="00C073EE">
              <w:rPr>
                <w:rFonts w:ascii="Arial" w:hAnsi="Arial" w:cs="Arial"/>
                <w:sz w:val="22"/>
                <w:szCs w:val="22"/>
              </w:rPr>
              <w:t>Name:</w:t>
            </w:r>
          </w:p>
          <w:p w14:paraId="13D2A06A" w14:textId="77777777" w:rsidR="00C073EE" w:rsidRPr="00C073EE" w:rsidRDefault="00C073EE" w:rsidP="003859EF">
            <w:pPr>
              <w:rPr>
                <w:rFonts w:ascii="Arial" w:hAnsi="Arial" w:cs="Arial"/>
                <w:sz w:val="22"/>
                <w:szCs w:val="22"/>
              </w:rPr>
            </w:pPr>
          </w:p>
        </w:tc>
        <w:tc>
          <w:tcPr>
            <w:tcW w:w="5958" w:type="dxa"/>
            <w:gridSpan w:val="3"/>
            <w:tcBorders>
              <w:bottom w:val="single" w:sz="4" w:space="0" w:color="auto"/>
            </w:tcBorders>
            <w:shd w:val="clear" w:color="auto" w:fill="E5B8B7" w:themeFill="accent2" w:themeFillTint="66"/>
          </w:tcPr>
          <w:p w14:paraId="13D2A06B" w14:textId="77777777" w:rsidR="00C073EE" w:rsidRPr="00C073EE" w:rsidRDefault="00C073EE" w:rsidP="003859EF">
            <w:pPr>
              <w:rPr>
                <w:rFonts w:ascii="Arial" w:hAnsi="Arial" w:cs="Arial"/>
                <w:sz w:val="22"/>
                <w:szCs w:val="22"/>
              </w:rPr>
            </w:pPr>
            <w:r w:rsidRPr="00C073EE">
              <w:rPr>
                <w:rFonts w:ascii="Arial" w:hAnsi="Arial" w:cs="Arial"/>
                <w:sz w:val="22"/>
                <w:szCs w:val="22"/>
              </w:rPr>
              <w:t>Title:</w:t>
            </w:r>
          </w:p>
        </w:tc>
      </w:tr>
      <w:tr w:rsidR="00C073EE" w:rsidRPr="00C073EE" w14:paraId="13D2A074" w14:textId="77777777" w:rsidTr="003859EF">
        <w:trPr>
          <w:trHeight w:val="548"/>
        </w:trPr>
        <w:tc>
          <w:tcPr>
            <w:tcW w:w="2394" w:type="dxa"/>
            <w:shd w:val="clear" w:color="auto" w:fill="F2DBDB" w:themeFill="accent2" w:themeFillTint="33"/>
          </w:tcPr>
          <w:p w14:paraId="13D2A06D" w14:textId="77777777" w:rsidR="00C073EE" w:rsidRPr="00C073EE" w:rsidRDefault="00C073EE" w:rsidP="003859EF">
            <w:pPr>
              <w:rPr>
                <w:rFonts w:ascii="Arial" w:hAnsi="Arial" w:cs="Arial"/>
                <w:sz w:val="22"/>
                <w:szCs w:val="22"/>
              </w:rPr>
            </w:pPr>
            <w:r w:rsidRPr="00C073EE">
              <w:rPr>
                <w:rFonts w:ascii="Arial" w:hAnsi="Arial" w:cs="Arial"/>
                <w:sz w:val="22"/>
                <w:szCs w:val="22"/>
              </w:rPr>
              <w:t>Mobile Phone:</w:t>
            </w:r>
          </w:p>
        </w:tc>
        <w:tc>
          <w:tcPr>
            <w:tcW w:w="2484" w:type="dxa"/>
            <w:gridSpan w:val="2"/>
            <w:shd w:val="clear" w:color="auto" w:fill="F2DBDB" w:themeFill="accent2" w:themeFillTint="33"/>
          </w:tcPr>
          <w:p w14:paraId="13D2A06E" w14:textId="77777777" w:rsidR="00C073EE" w:rsidRPr="00C073EE" w:rsidRDefault="00C073EE" w:rsidP="003859EF">
            <w:pPr>
              <w:rPr>
                <w:rFonts w:ascii="Arial" w:hAnsi="Arial" w:cs="Arial"/>
                <w:sz w:val="22"/>
                <w:szCs w:val="22"/>
              </w:rPr>
            </w:pPr>
            <w:r w:rsidRPr="00C073EE">
              <w:rPr>
                <w:rFonts w:ascii="Arial" w:hAnsi="Arial" w:cs="Arial"/>
                <w:sz w:val="22"/>
                <w:szCs w:val="22"/>
              </w:rPr>
              <w:t>Home Phone:</w:t>
            </w:r>
          </w:p>
        </w:tc>
        <w:tc>
          <w:tcPr>
            <w:tcW w:w="2304" w:type="dxa"/>
            <w:shd w:val="clear" w:color="auto" w:fill="F2DBDB" w:themeFill="accent2" w:themeFillTint="33"/>
          </w:tcPr>
          <w:p w14:paraId="13D2A06F" w14:textId="77777777" w:rsidR="00C073EE" w:rsidRPr="00C073EE" w:rsidRDefault="00C073EE" w:rsidP="003859EF">
            <w:pPr>
              <w:rPr>
                <w:rFonts w:ascii="Arial" w:hAnsi="Arial" w:cs="Arial"/>
                <w:sz w:val="22"/>
                <w:szCs w:val="22"/>
              </w:rPr>
            </w:pPr>
            <w:r w:rsidRPr="00C073EE">
              <w:rPr>
                <w:rFonts w:ascii="Arial" w:hAnsi="Arial" w:cs="Arial"/>
                <w:sz w:val="22"/>
                <w:szCs w:val="22"/>
              </w:rPr>
              <w:t>Office Phone:</w:t>
            </w:r>
          </w:p>
        </w:tc>
        <w:tc>
          <w:tcPr>
            <w:tcW w:w="2394" w:type="dxa"/>
            <w:shd w:val="clear" w:color="auto" w:fill="F2DBDB" w:themeFill="accent2" w:themeFillTint="33"/>
          </w:tcPr>
          <w:p w14:paraId="13D2A070" w14:textId="77777777" w:rsidR="00C073EE" w:rsidRPr="00C073EE" w:rsidRDefault="00C073EE" w:rsidP="003859EF">
            <w:pPr>
              <w:rPr>
                <w:rFonts w:ascii="Arial" w:hAnsi="Arial" w:cs="Arial"/>
                <w:sz w:val="22"/>
                <w:szCs w:val="22"/>
              </w:rPr>
            </w:pPr>
            <w:r w:rsidRPr="00C073EE">
              <w:rPr>
                <w:rFonts w:ascii="Arial" w:hAnsi="Arial" w:cs="Arial"/>
                <w:sz w:val="22"/>
                <w:szCs w:val="22"/>
              </w:rPr>
              <w:t>Email:</w:t>
            </w:r>
          </w:p>
          <w:p w14:paraId="13D2A071" w14:textId="77777777" w:rsidR="00C073EE" w:rsidRPr="00C073EE" w:rsidRDefault="00C073EE" w:rsidP="003859EF">
            <w:pPr>
              <w:rPr>
                <w:rFonts w:ascii="Arial" w:hAnsi="Arial" w:cs="Arial"/>
                <w:sz w:val="22"/>
                <w:szCs w:val="22"/>
              </w:rPr>
            </w:pPr>
          </w:p>
          <w:p w14:paraId="13D2A072" w14:textId="77777777" w:rsidR="00C073EE" w:rsidRPr="00C073EE" w:rsidRDefault="00C073EE" w:rsidP="003859EF">
            <w:pPr>
              <w:rPr>
                <w:rFonts w:ascii="Arial" w:hAnsi="Arial" w:cs="Arial"/>
                <w:sz w:val="22"/>
                <w:szCs w:val="22"/>
              </w:rPr>
            </w:pPr>
          </w:p>
          <w:p w14:paraId="13D2A073" w14:textId="77777777" w:rsidR="00C073EE" w:rsidRPr="00C073EE" w:rsidRDefault="00C073EE" w:rsidP="003859EF">
            <w:pPr>
              <w:rPr>
                <w:rFonts w:ascii="Arial" w:hAnsi="Arial" w:cs="Arial"/>
                <w:sz w:val="22"/>
                <w:szCs w:val="22"/>
              </w:rPr>
            </w:pPr>
          </w:p>
        </w:tc>
      </w:tr>
    </w:tbl>
    <w:p w14:paraId="13D2A075" w14:textId="77777777" w:rsidR="00C073EE" w:rsidRPr="00C073EE" w:rsidRDefault="00C073EE" w:rsidP="00C073EE">
      <w:pPr>
        <w:rPr>
          <w:rFonts w:ascii="Arial" w:hAnsi="Arial" w:cs="Arial"/>
          <w:sz w:val="22"/>
          <w:szCs w:val="22"/>
        </w:rPr>
      </w:pPr>
    </w:p>
    <w:p w14:paraId="13D2A076" w14:textId="77777777" w:rsidR="00C073EE" w:rsidRDefault="00C073EE" w:rsidP="00DB52FB"/>
    <w:p w14:paraId="13D2A077" w14:textId="77777777" w:rsidR="00DB52FB" w:rsidRPr="0046503C" w:rsidRDefault="006E1522" w:rsidP="00DB52FB">
      <w:pPr>
        <w:keepNext/>
        <w:keepLines/>
        <w:jc w:val="both"/>
        <w:rPr>
          <w:rFonts w:ascii="Arial" w:hAnsi="Arial" w:cs="Arial"/>
          <w:sz w:val="22"/>
          <w:szCs w:val="22"/>
        </w:rPr>
      </w:pPr>
      <w:r>
        <w:rPr>
          <w:rFonts w:ascii="Arial" w:hAnsi="Arial" w:cs="Arial"/>
          <w:sz w:val="22"/>
          <w:szCs w:val="22"/>
        </w:rPr>
        <w:tab/>
      </w:r>
      <w:r>
        <w:rPr>
          <w:rFonts w:ascii="Arial" w:hAnsi="Arial" w:cs="Arial"/>
          <w:sz w:val="22"/>
          <w:szCs w:val="22"/>
        </w:rPr>
        <w:tab/>
        <w:t>5</w:t>
      </w:r>
      <w:r w:rsidR="00DB52FB" w:rsidRPr="0046503C">
        <w:rPr>
          <w:rFonts w:ascii="Arial" w:hAnsi="Arial" w:cs="Arial"/>
          <w:sz w:val="22"/>
          <w:szCs w:val="22"/>
        </w:rPr>
        <w:t>.</w:t>
      </w:r>
      <w:r w:rsidR="00DB52FB" w:rsidRPr="0046503C">
        <w:rPr>
          <w:rFonts w:ascii="Arial" w:hAnsi="Arial" w:cs="Arial"/>
          <w:sz w:val="22"/>
          <w:szCs w:val="22"/>
        </w:rPr>
        <w:tab/>
        <w:t>IT &amp; Security</w:t>
      </w:r>
    </w:p>
    <w:p w14:paraId="13D2A078" w14:textId="77777777" w:rsidR="00DB52FB" w:rsidRPr="0046503C" w:rsidRDefault="00DB52FB" w:rsidP="00DB52FB">
      <w:pPr>
        <w:keepNext/>
        <w:keepLines/>
        <w:jc w:val="both"/>
        <w:rPr>
          <w:rFonts w:ascii="Arial" w:hAnsi="Arial" w:cs="Arial"/>
          <w:sz w:val="22"/>
          <w:szCs w:val="22"/>
        </w:rPr>
      </w:pPr>
    </w:p>
    <w:tbl>
      <w:tblPr>
        <w:tblStyle w:val="TableGrid"/>
        <w:tblW w:w="0" w:type="auto"/>
        <w:shd w:val="clear" w:color="auto" w:fill="95B3D7" w:themeFill="accent1" w:themeFillTint="99"/>
        <w:tblLook w:val="04A0" w:firstRow="1" w:lastRow="0" w:firstColumn="1" w:lastColumn="0" w:noHBand="0" w:noVBand="1"/>
      </w:tblPr>
      <w:tblGrid>
        <w:gridCol w:w="2341"/>
        <w:gridCol w:w="1199"/>
        <w:gridCol w:w="1225"/>
        <w:gridCol w:w="2251"/>
        <w:gridCol w:w="2334"/>
      </w:tblGrid>
      <w:tr w:rsidR="00DB52FB" w:rsidRPr="0046503C" w14:paraId="13D2A07B" w14:textId="77777777" w:rsidTr="00DB52FB">
        <w:tc>
          <w:tcPr>
            <w:tcW w:w="3618" w:type="dxa"/>
            <w:gridSpan w:val="2"/>
            <w:tcBorders>
              <w:bottom w:val="single" w:sz="4" w:space="0" w:color="auto"/>
            </w:tcBorders>
            <w:shd w:val="clear" w:color="auto" w:fill="948A54" w:themeFill="background2" w:themeFillShade="80"/>
          </w:tcPr>
          <w:p w14:paraId="13D2A079" w14:textId="77777777" w:rsidR="00DB52FB" w:rsidRPr="0046503C" w:rsidRDefault="00DB52FB" w:rsidP="00CD2017">
            <w:pPr>
              <w:rPr>
                <w:rFonts w:ascii="Arial" w:hAnsi="Arial" w:cs="Arial"/>
                <w:i/>
                <w:color w:val="FFFFFF" w:themeColor="background1"/>
                <w:sz w:val="22"/>
                <w:szCs w:val="22"/>
              </w:rPr>
            </w:pPr>
            <w:r w:rsidRPr="0046503C">
              <w:rPr>
                <w:rFonts w:ascii="Arial" w:hAnsi="Arial" w:cs="Arial"/>
                <w:i/>
                <w:color w:val="FFFFFF" w:themeColor="background1"/>
                <w:sz w:val="22"/>
                <w:szCs w:val="22"/>
              </w:rPr>
              <w:t>IT &amp; Security</w:t>
            </w:r>
          </w:p>
        </w:tc>
        <w:tc>
          <w:tcPr>
            <w:tcW w:w="5958" w:type="dxa"/>
            <w:gridSpan w:val="3"/>
            <w:tcBorders>
              <w:bottom w:val="single" w:sz="4" w:space="0" w:color="auto"/>
            </w:tcBorders>
            <w:shd w:val="clear" w:color="auto" w:fill="auto"/>
          </w:tcPr>
          <w:p w14:paraId="13D2A07A" w14:textId="77777777" w:rsidR="00DB52FB" w:rsidRPr="0046503C" w:rsidRDefault="00A64C9D" w:rsidP="00DB52FB">
            <w:pPr>
              <w:rPr>
                <w:rFonts w:ascii="Arial" w:hAnsi="Arial" w:cs="Arial"/>
                <w:color w:val="FFFFFF" w:themeColor="background1"/>
                <w:sz w:val="22"/>
                <w:szCs w:val="22"/>
              </w:rPr>
            </w:pPr>
            <w:r>
              <w:rPr>
                <w:rFonts w:ascii="Arial" w:hAnsi="Arial" w:cs="Arial"/>
                <w:color w:val="000000" w:themeColor="text1"/>
                <w:sz w:val="22"/>
                <w:szCs w:val="22"/>
              </w:rPr>
              <w:t>Organization</w:t>
            </w:r>
            <w:r w:rsidR="00DB52FB" w:rsidRPr="0046503C">
              <w:rPr>
                <w:rFonts w:ascii="Arial" w:hAnsi="Arial" w:cs="Arial"/>
                <w:color w:val="000000" w:themeColor="text1"/>
                <w:sz w:val="22"/>
                <w:szCs w:val="22"/>
              </w:rPr>
              <w:t>:</w:t>
            </w:r>
          </w:p>
        </w:tc>
      </w:tr>
      <w:tr w:rsidR="00DB52FB" w:rsidRPr="0046503C" w14:paraId="13D2A07F" w14:textId="77777777" w:rsidTr="00DB52FB">
        <w:trPr>
          <w:trHeight w:val="548"/>
        </w:trPr>
        <w:tc>
          <w:tcPr>
            <w:tcW w:w="3618" w:type="dxa"/>
            <w:gridSpan w:val="2"/>
            <w:tcBorders>
              <w:bottom w:val="single" w:sz="4" w:space="0" w:color="auto"/>
            </w:tcBorders>
            <w:shd w:val="clear" w:color="auto" w:fill="C4BC96" w:themeFill="background2" w:themeFillShade="BF"/>
          </w:tcPr>
          <w:p w14:paraId="13D2A07C" w14:textId="77777777" w:rsidR="00DB52FB" w:rsidRPr="0046503C" w:rsidRDefault="00DB52FB" w:rsidP="00DB52FB">
            <w:pPr>
              <w:rPr>
                <w:rFonts w:ascii="Arial" w:hAnsi="Arial" w:cs="Arial"/>
                <w:sz w:val="22"/>
                <w:szCs w:val="22"/>
              </w:rPr>
            </w:pPr>
            <w:r w:rsidRPr="0046503C">
              <w:rPr>
                <w:rFonts w:ascii="Arial" w:hAnsi="Arial" w:cs="Arial"/>
                <w:sz w:val="22"/>
                <w:szCs w:val="22"/>
              </w:rPr>
              <w:t>Name:</w:t>
            </w:r>
          </w:p>
          <w:p w14:paraId="13D2A07D" w14:textId="77777777" w:rsidR="00DB52FB" w:rsidRPr="0046503C" w:rsidRDefault="00DB52FB" w:rsidP="00DB52FB">
            <w:pPr>
              <w:rPr>
                <w:rFonts w:ascii="Arial" w:hAnsi="Arial" w:cs="Arial"/>
                <w:sz w:val="22"/>
                <w:szCs w:val="22"/>
              </w:rPr>
            </w:pPr>
          </w:p>
        </w:tc>
        <w:tc>
          <w:tcPr>
            <w:tcW w:w="5958" w:type="dxa"/>
            <w:gridSpan w:val="3"/>
            <w:tcBorders>
              <w:bottom w:val="single" w:sz="4" w:space="0" w:color="auto"/>
            </w:tcBorders>
            <w:shd w:val="clear" w:color="auto" w:fill="C4BC96" w:themeFill="background2" w:themeFillShade="BF"/>
          </w:tcPr>
          <w:p w14:paraId="13D2A07E" w14:textId="77777777" w:rsidR="00DB52FB" w:rsidRPr="0046503C" w:rsidRDefault="00DB52FB" w:rsidP="00DB52FB">
            <w:pPr>
              <w:rPr>
                <w:rFonts w:ascii="Arial" w:hAnsi="Arial" w:cs="Arial"/>
                <w:sz w:val="22"/>
                <w:szCs w:val="22"/>
              </w:rPr>
            </w:pPr>
            <w:r w:rsidRPr="0046503C">
              <w:rPr>
                <w:rFonts w:ascii="Arial" w:hAnsi="Arial" w:cs="Arial"/>
                <w:sz w:val="22"/>
                <w:szCs w:val="22"/>
              </w:rPr>
              <w:t>Title:</w:t>
            </w:r>
          </w:p>
        </w:tc>
      </w:tr>
      <w:tr w:rsidR="00DB52FB" w:rsidRPr="0046503C" w14:paraId="13D2A087" w14:textId="77777777" w:rsidTr="00DB52FB">
        <w:trPr>
          <w:trHeight w:val="548"/>
        </w:trPr>
        <w:tc>
          <w:tcPr>
            <w:tcW w:w="2394" w:type="dxa"/>
            <w:shd w:val="clear" w:color="auto" w:fill="DDD9C3" w:themeFill="background2" w:themeFillShade="E6"/>
          </w:tcPr>
          <w:p w14:paraId="13D2A080" w14:textId="77777777" w:rsidR="00DB52FB" w:rsidRPr="0046503C" w:rsidRDefault="00DB52FB" w:rsidP="00DB52FB">
            <w:pPr>
              <w:rPr>
                <w:rFonts w:ascii="Arial" w:hAnsi="Arial" w:cs="Arial"/>
                <w:sz w:val="22"/>
                <w:szCs w:val="22"/>
              </w:rPr>
            </w:pPr>
            <w:r w:rsidRPr="0046503C">
              <w:rPr>
                <w:rFonts w:ascii="Arial" w:hAnsi="Arial" w:cs="Arial"/>
                <w:sz w:val="22"/>
                <w:szCs w:val="22"/>
              </w:rPr>
              <w:t>Mobile Phone:</w:t>
            </w:r>
          </w:p>
        </w:tc>
        <w:tc>
          <w:tcPr>
            <w:tcW w:w="2484" w:type="dxa"/>
            <w:gridSpan w:val="2"/>
            <w:shd w:val="clear" w:color="auto" w:fill="DDD9C3" w:themeFill="background2" w:themeFillShade="E6"/>
          </w:tcPr>
          <w:p w14:paraId="13D2A081" w14:textId="77777777" w:rsidR="00DB52FB" w:rsidRPr="0046503C" w:rsidRDefault="00DB52FB" w:rsidP="00DB52FB">
            <w:pPr>
              <w:rPr>
                <w:rFonts w:ascii="Arial" w:hAnsi="Arial" w:cs="Arial"/>
                <w:sz w:val="22"/>
                <w:szCs w:val="22"/>
              </w:rPr>
            </w:pPr>
            <w:r w:rsidRPr="0046503C">
              <w:rPr>
                <w:rFonts w:ascii="Arial" w:hAnsi="Arial" w:cs="Arial"/>
                <w:sz w:val="22"/>
                <w:szCs w:val="22"/>
              </w:rPr>
              <w:t>Home Phone:</w:t>
            </w:r>
          </w:p>
        </w:tc>
        <w:tc>
          <w:tcPr>
            <w:tcW w:w="2304" w:type="dxa"/>
            <w:shd w:val="clear" w:color="auto" w:fill="DDD9C3" w:themeFill="background2" w:themeFillShade="E6"/>
          </w:tcPr>
          <w:p w14:paraId="13D2A082" w14:textId="77777777" w:rsidR="00DB52FB" w:rsidRPr="0046503C" w:rsidRDefault="00DB52FB" w:rsidP="00DB52FB">
            <w:pPr>
              <w:rPr>
                <w:rFonts w:ascii="Arial" w:hAnsi="Arial" w:cs="Arial"/>
                <w:sz w:val="22"/>
                <w:szCs w:val="22"/>
              </w:rPr>
            </w:pPr>
            <w:r w:rsidRPr="0046503C">
              <w:rPr>
                <w:rFonts w:ascii="Arial" w:hAnsi="Arial" w:cs="Arial"/>
                <w:sz w:val="22"/>
                <w:szCs w:val="22"/>
              </w:rPr>
              <w:t>Office Phone:</w:t>
            </w:r>
          </w:p>
        </w:tc>
        <w:tc>
          <w:tcPr>
            <w:tcW w:w="2394" w:type="dxa"/>
            <w:shd w:val="clear" w:color="auto" w:fill="DDD9C3" w:themeFill="background2" w:themeFillShade="E6"/>
          </w:tcPr>
          <w:p w14:paraId="13D2A083" w14:textId="77777777" w:rsidR="00DB52FB" w:rsidRPr="0046503C" w:rsidRDefault="00DB52FB" w:rsidP="00DB52FB">
            <w:pPr>
              <w:rPr>
                <w:rFonts w:ascii="Arial" w:hAnsi="Arial" w:cs="Arial"/>
                <w:sz w:val="22"/>
                <w:szCs w:val="22"/>
              </w:rPr>
            </w:pPr>
            <w:r w:rsidRPr="0046503C">
              <w:rPr>
                <w:rFonts w:ascii="Arial" w:hAnsi="Arial" w:cs="Arial"/>
                <w:sz w:val="22"/>
                <w:szCs w:val="22"/>
              </w:rPr>
              <w:t>Email:</w:t>
            </w:r>
          </w:p>
          <w:p w14:paraId="13D2A084" w14:textId="77777777" w:rsidR="00DB52FB" w:rsidRPr="0046503C" w:rsidRDefault="00DB52FB" w:rsidP="00DB52FB">
            <w:pPr>
              <w:rPr>
                <w:rFonts w:ascii="Arial" w:hAnsi="Arial" w:cs="Arial"/>
                <w:sz w:val="22"/>
                <w:szCs w:val="22"/>
              </w:rPr>
            </w:pPr>
          </w:p>
          <w:p w14:paraId="13D2A085" w14:textId="77777777" w:rsidR="00DB52FB" w:rsidRPr="0046503C" w:rsidRDefault="00DB52FB" w:rsidP="00DB52FB">
            <w:pPr>
              <w:rPr>
                <w:rFonts w:ascii="Arial" w:hAnsi="Arial" w:cs="Arial"/>
                <w:sz w:val="22"/>
                <w:szCs w:val="22"/>
              </w:rPr>
            </w:pPr>
          </w:p>
          <w:p w14:paraId="13D2A086" w14:textId="77777777" w:rsidR="00DB52FB" w:rsidRPr="0046503C" w:rsidRDefault="00DB52FB" w:rsidP="00DB52FB">
            <w:pPr>
              <w:rPr>
                <w:rFonts w:ascii="Arial" w:hAnsi="Arial" w:cs="Arial"/>
                <w:sz w:val="22"/>
                <w:szCs w:val="22"/>
              </w:rPr>
            </w:pPr>
          </w:p>
        </w:tc>
      </w:tr>
    </w:tbl>
    <w:p w14:paraId="13D2A088" w14:textId="77777777" w:rsidR="00DB52FB" w:rsidRDefault="00DB52FB" w:rsidP="00DB52FB">
      <w:pPr>
        <w:rPr>
          <w:rFonts w:ascii="Arial" w:hAnsi="Arial" w:cs="Arial"/>
          <w:sz w:val="22"/>
          <w:szCs w:val="22"/>
        </w:rPr>
      </w:pPr>
    </w:p>
    <w:p w14:paraId="13D2A089" w14:textId="77777777" w:rsidR="009751DD" w:rsidRDefault="009751DD" w:rsidP="00DB52FB">
      <w:pPr>
        <w:rPr>
          <w:rFonts w:ascii="Arial" w:hAnsi="Arial" w:cs="Arial"/>
          <w:sz w:val="22"/>
          <w:szCs w:val="22"/>
        </w:rPr>
      </w:pPr>
    </w:p>
    <w:p w14:paraId="13D2A08A" w14:textId="77777777" w:rsidR="009751DD" w:rsidRDefault="009751DD" w:rsidP="00DB52FB">
      <w:pPr>
        <w:rPr>
          <w:rFonts w:ascii="Arial" w:hAnsi="Arial" w:cs="Arial"/>
          <w:sz w:val="22"/>
          <w:szCs w:val="22"/>
        </w:rPr>
      </w:pPr>
    </w:p>
    <w:p w14:paraId="13D2A08B" w14:textId="77777777" w:rsidR="009751DD" w:rsidRDefault="009751DD" w:rsidP="00DB52FB">
      <w:pPr>
        <w:rPr>
          <w:rFonts w:ascii="Arial" w:hAnsi="Arial" w:cs="Arial"/>
          <w:sz w:val="22"/>
          <w:szCs w:val="22"/>
        </w:rPr>
      </w:pPr>
    </w:p>
    <w:p w14:paraId="13D2A08C" w14:textId="77777777" w:rsidR="00DB52FB" w:rsidRPr="0046503C" w:rsidRDefault="00DB52FB" w:rsidP="00DB52FB">
      <w:pPr>
        <w:keepNext/>
        <w:keepLines/>
        <w:jc w:val="both"/>
        <w:rPr>
          <w:rFonts w:ascii="Arial" w:hAnsi="Arial" w:cs="Arial"/>
          <w:sz w:val="22"/>
          <w:szCs w:val="22"/>
        </w:rPr>
      </w:pPr>
      <w:r w:rsidRPr="0046503C">
        <w:rPr>
          <w:rFonts w:ascii="Arial" w:hAnsi="Arial" w:cs="Arial"/>
          <w:sz w:val="22"/>
          <w:szCs w:val="22"/>
        </w:rPr>
        <w:tab/>
      </w:r>
      <w:r w:rsidRPr="0046503C">
        <w:rPr>
          <w:rFonts w:ascii="Arial" w:hAnsi="Arial" w:cs="Arial"/>
          <w:sz w:val="22"/>
          <w:szCs w:val="22"/>
        </w:rPr>
        <w:tab/>
      </w:r>
      <w:r w:rsidR="002320EE">
        <w:rPr>
          <w:rFonts w:ascii="Arial" w:hAnsi="Arial" w:cs="Arial"/>
          <w:sz w:val="22"/>
          <w:szCs w:val="22"/>
        </w:rPr>
        <w:t>6</w:t>
      </w:r>
      <w:r w:rsidRPr="0046503C">
        <w:rPr>
          <w:rFonts w:ascii="Arial" w:hAnsi="Arial" w:cs="Arial"/>
          <w:sz w:val="22"/>
          <w:szCs w:val="22"/>
        </w:rPr>
        <w:t>.</w:t>
      </w:r>
      <w:r w:rsidRPr="0046503C">
        <w:rPr>
          <w:rFonts w:ascii="Arial" w:hAnsi="Arial" w:cs="Arial"/>
          <w:sz w:val="22"/>
          <w:szCs w:val="22"/>
        </w:rPr>
        <w:tab/>
        <w:t>Public Relations</w:t>
      </w:r>
    </w:p>
    <w:p w14:paraId="13D2A08D" w14:textId="77777777" w:rsidR="00DB52FB" w:rsidRPr="0046503C" w:rsidRDefault="00DB52FB" w:rsidP="00DB52FB">
      <w:pPr>
        <w:rPr>
          <w:rFonts w:ascii="Arial" w:hAnsi="Arial" w:cs="Arial"/>
        </w:rPr>
      </w:pPr>
    </w:p>
    <w:tbl>
      <w:tblPr>
        <w:tblStyle w:val="TableGrid"/>
        <w:tblW w:w="0" w:type="auto"/>
        <w:shd w:val="clear" w:color="auto" w:fill="95B3D7" w:themeFill="accent1" w:themeFillTint="99"/>
        <w:tblLook w:val="04A0" w:firstRow="1" w:lastRow="0" w:firstColumn="1" w:lastColumn="0" w:noHBand="0" w:noVBand="1"/>
      </w:tblPr>
      <w:tblGrid>
        <w:gridCol w:w="2344"/>
        <w:gridCol w:w="1199"/>
        <w:gridCol w:w="1224"/>
        <w:gridCol w:w="2250"/>
        <w:gridCol w:w="2333"/>
      </w:tblGrid>
      <w:tr w:rsidR="00DB52FB" w:rsidRPr="0046503C" w14:paraId="13D2A090" w14:textId="77777777" w:rsidTr="00DB52FB">
        <w:tc>
          <w:tcPr>
            <w:tcW w:w="3618" w:type="dxa"/>
            <w:gridSpan w:val="2"/>
            <w:tcBorders>
              <w:bottom w:val="single" w:sz="4" w:space="0" w:color="auto"/>
            </w:tcBorders>
            <w:shd w:val="clear" w:color="auto" w:fill="B2A1C7" w:themeFill="accent4" w:themeFillTint="99"/>
          </w:tcPr>
          <w:p w14:paraId="13D2A08E" w14:textId="77777777" w:rsidR="00DB52FB" w:rsidRPr="0046503C" w:rsidRDefault="00CD2017" w:rsidP="00CD2017">
            <w:pPr>
              <w:rPr>
                <w:rFonts w:ascii="Arial" w:hAnsi="Arial" w:cs="Arial"/>
                <w:i/>
                <w:color w:val="FFFFFF" w:themeColor="background1"/>
                <w:sz w:val="22"/>
                <w:szCs w:val="22"/>
              </w:rPr>
            </w:pPr>
            <w:r>
              <w:rPr>
                <w:rFonts w:ascii="Arial" w:hAnsi="Arial" w:cs="Arial"/>
                <w:i/>
                <w:color w:val="FFFFFF" w:themeColor="background1"/>
                <w:sz w:val="22"/>
                <w:szCs w:val="22"/>
              </w:rPr>
              <w:t>Public Relations</w:t>
            </w:r>
          </w:p>
        </w:tc>
        <w:tc>
          <w:tcPr>
            <w:tcW w:w="5958" w:type="dxa"/>
            <w:gridSpan w:val="3"/>
            <w:tcBorders>
              <w:bottom w:val="single" w:sz="4" w:space="0" w:color="auto"/>
            </w:tcBorders>
            <w:shd w:val="clear" w:color="auto" w:fill="auto"/>
          </w:tcPr>
          <w:p w14:paraId="13D2A08F" w14:textId="77777777" w:rsidR="00DB52FB" w:rsidRPr="0046503C" w:rsidRDefault="00A64C9D" w:rsidP="00DB52FB">
            <w:pPr>
              <w:rPr>
                <w:rFonts w:ascii="Arial" w:hAnsi="Arial" w:cs="Arial"/>
                <w:color w:val="FFFFFF" w:themeColor="background1"/>
                <w:sz w:val="22"/>
                <w:szCs w:val="22"/>
              </w:rPr>
            </w:pPr>
            <w:r>
              <w:rPr>
                <w:rFonts w:ascii="Arial" w:hAnsi="Arial" w:cs="Arial"/>
                <w:color w:val="000000" w:themeColor="text1"/>
                <w:sz w:val="22"/>
                <w:szCs w:val="22"/>
              </w:rPr>
              <w:t>Organization</w:t>
            </w:r>
            <w:r w:rsidR="00DB52FB" w:rsidRPr="0046503C">
              <w:rPr>
                <w:rFonts w:ascii="Arial" w:hAnsi="Arial" w:cs="Arial"/>
                <w:color w:val="000000" w:themeColor="text1"/>
                <w:sz w:val="22"/>
                <w:szCs w:val="22"/>
              </w:rPr>
              <w:t>:</w:t>
            </w:r>
          </w:p>
        </w:tc>
      </w:tr>
      <w:tr w:rsidR="00DB52FB" w:rsidRPr="0046503C" w14:paraId="13D2A094" w14:textId="77777777" w:rsidTr="00DB52FB">
        <w:trPr>
          <w:trHeight w:val="548"/>
        </w:trPr>
        <w:tc>
          <w:tcPr>
            <w:tcW w:w="3618" w:type="dxa"/>
            <w:gridSpan w:val="2"/>
            <w:tcBorders>
              <w:bottom w:val="single" w:sz="4" w:space="0" w:color="auto"/>
            </w:tcBorders>
            <w:shd w:val="clear" w:color="auto" w:fill="CCC0D9" w:themeFill="accent4" w:themeFillTint="66"/>
          </w:tcPr>
          <w:p w14:paraId="13D2A091" w14:textId="77777777" w:rsidR="00DB52FB" w:rsidRPr="0046503C" w:rsidRDefault="00DB52FB" w:rsidP="00DB52FB">
            <w:pPr>
              <w:rPr>
                <w:rFonts w:ascii="Arial" w:hAnsi="Arial" w:cs="Arial"/>
                <w:sz w:val="22"/>
                <w:szCs w:val="22"/>
              </w:rPr>
            </w:pPr>
            <w:r w:rsidRPr="0046503C">
              <w:rPr>
                <w:rFonts w:ascii="Arial" w:hAnsi="Arial" w:cs="Arial"/>
                <w:sz w:val="22"/>
                <w:szCs w:val="22"/>
              </w:rPr>
              <w:lastRenderedPageBreak/>
              <w:t>Name:</w:t>
            </w:r>
          </w:p>
          <w:p w14:paraId="13D2A092" w14:textId="77777777" w:rsidR="00DB52FB" w:rsidRPr="0046503C" w:rsidRDefault="00DB52FB" w:rsidP="00DB52FB">
            <w:pPr>
              <w:rPr>
                <w:rFonts w:ascii="Arial" w:hAnsi="Arial" w:cs="Arial"/>
                <w:sz w:val="22"/>
                <w:szCs w:val="22"/>
              </w:rPr>
            </w:pPr>
          </w:p>
        </w:tc>
        <w:tc>
          <w:tcPr>
            <w:tcW w:w="5958" w:type="dxa"/>
            <w:gridSpan w:val="3"/>
            <w:tcBorders>
              <w:bottom w:val="single" w:sz="4" w:space="0" w:color="auto"/>
            </w:tcBorders>
            <w:shd w:val="clear" w:color="auto" w:fill="CCC0D9" w:themeFill="accent4" w:themeFillTint="66"/>
          </w:tcPr>
          <w:p w14:paraId="13D2A093" w14:textId="77777777" w:rsidR="00DB52FB" w:rsidRPr="0046503C" w:rsidRDefault="00DB52FB" w:rsidP="00DB52FB">
            <w:pPr>
              <w:rPr>
                <w:rFonts w:ascii="Arial" w:hAnsi="Arial" w:cs="Arial"/>
                <w:sz w:val="22"/>
                <w:szCs w:val="22"/>
              </w:rPr>
            </w:pPr>
            <w:r w:rsidRPr="0046503C">
              <w:rPr>
                <w:rFonts w:ascii="Arial" w:hAnsi="Arial" w:cs="Arial"/>
                <w:sz w:val="22"/>
                <w:szCs w:val="22"/>
              </w:rPr>
              <w:t>Title:</w:t>
            </w:r>
          </w:p>
        </w:tc>
      </w:tr>
      <w:tr w:rsidR="00DB52FB" w:rsidRPr="0046503C" w14:paraId="13D2A09C" w14:textId="77777777" w:rsidTr="00DB52FB">
        <w:trPr>
          <w:trHeight w:val="548"/>
        </w:trPr>
        <w:tc>
          <w:tcPr>
            <w:tcW w:w="2394" w:type="dxa"/>
            <w:shd w:val="clear" w:color="auto" w:fill="E5DFEC" w:themeFill="accent4" w:themeFillTint="33"/>
          </w:tcPr>
          <w:p w14:paraId="13D2A095" w14:textId="77777777" w:rsidR="00DB52FB" w:rsidRPr="0046503C" w:rsidRDefault="00DB52FB" w:rsidP="00DB52FB">
            <w:pPr>
              <w:rPr>
                <w:rFonts w:ascii="Arial" w:hAnsi="Arial" w:cs="Arial"/>
                <w:sz w:val="22"/>
                <w:szCs w:val="22"/>
              </w:rPr>
            </w:pPr>
            <w:r w:rsidRPr="0046503C">
              <w:rPr>
                <w:rFonts w:ascii="Arial" w:hAnsi="Arial" w:cs="Arial"/>
                <w:sz w:val="22"/>
                <w:szCs w:val="22"/>
              </w:rPr>
              <w:t>Mobile Phone:</w:t>
            </w:r>
          </w:p>
        </w:tc>
        <w:tc>
          <w:tcPr>
            <w:tcW w:w="2484" w:type="dxa"/>
            <w:gridSpan w:val="2"/>
            <w:shd w:val="clear" w:color="auto" w:fill="E5DFEC" w:themeFill="accent4" w:themeFillTint="33"/>
          </w:tcPr>
          <w:p w14:paraId="13D2A096" w14:textId="77777777" w:rsidR="00DB52FB" w:rsidRPr="0046503C" w:rsidRDefault="00DB52FB" w:rsidP="00DB52FB">
            <w:pPr>
              <w:rPr>
                <w:rFonts w:ascii="Arial" w:hAnsi="Arial" w:cs="Arial"/>
                <w:sz w:val="22"/>
                <w:szCs w:val="22"/>
              </w:rPr>
            </w:pPr>
            <w:r w:rsidRPr="0046503C">
              <w:rPr>
                <w:rFonts w:ascii="Arial" w:hAnsi="Arial" w:cs="Arial"/>
                <w:sz w:val="22"/>
                <w:szCs w:val="22"/>
              </w:rPr>
              <w:t>Home Phone:</w:t>
            </w:r>
          </w:p>
        </w:tc>
        <w:tc>
          <w:tcPr>
            <w:tcW w:w="2304" w:type="dxa"/>
            <w:shd w:val="clear" w:color="auto" w:fill="E5DFEC" w:themeFill="accent4" w:themeFillTint="33"/>
          </w:tcPr>
          <w:p w14:paraId="13D2A097" w14:textId="77777777" w:rsidR="00DB52FB" w:rsidRPr="0046503C" w:rsidRDefault="00DB52FB" w:rsidP="00DB52FB">
            <w:pPr>
              <w:rPr>
                <w:rFonts w:ascii="Arial" w:hAnsi="Arial" w:cs="Arial"/>
                <w:sz w:val="22"/>
                <w:szCs w:val="22"/>
              </w:rPr>
            </w:pPr>
            <w:r w:rsidRPr="0046503C">
              <w:rPr>
                <w:rFonts w:ascii="Arial" w:hAnsi="Arial" w:cs="Arial"/>
                <w:sz w:val="22"/>
                <w:szCs w:val="22"/>
              </w:rPr>
              <w:t>Office Phone:</w:t>
            </w:r>
          </w:p>
        </w:tc>
        <w:tc>
          <w:tcPr>
            <w:tcW w:w="2394" w:type="dxa"/>
            <w:shd w:val="clear" w:color="auto" w:fill="E5DFEC" w:themeFill="accent4" w:themeFillTint="33"/>
          </w:tcPr>
          <w:p w14:paraId="13D2A098" w14:textId="77777777" w:rsidR="00DB52FB" w:rsidRPr="0046503C" w:rsidRDefault="00DB52FB" w:rsidP="00DB52FB">
            <w:pPr>
              <w:rPr>
                <w:rFonts w:ascii="Arial" w:hAnsi="Arial" w:cs="Arial"/>
                <w:sz w:val="22"/>
                <w:szCs w:val="22"/>
              </w:rPr>
            </w:pPr>
            <w:r w:rsidRPr="0046503C">
              <w:rPr>
                <w:rFonts w:ascii="Arial" w:hAnsi="Arial" w:cs="Arial"/>
                <w:sz w:val="22"/>
                <w:szCs w:val="22"/>
              </w:rPr>
              <w:t>Email:</w:t>
            </w:r>
          </w:p>
          <w:p w14:paraId="13D2A099" w14:textId="77777777" w:rsidR="00DB52FB" w:rsidRPr="0046503C" w:rsidRDefault="00DB52FB" w:rsidP="00DB52FB">
            <w:pPr>
              <w:rPr>
                <w:rFonts w:ascii="Arial" w:hAnsi="Arial" w:cs="Arial"/>
                <w:sz w:val="22"/>
                <w:szCs w:val="22"/>
              </w:rPr>
            </w:pPr>
          </w:p>
          <w:p w14:paraId="13D2A09A" w14:textId="77777777" w:rsidR="00DB52FB" w:rsidRPr="0046503C" w:rsidRDefault="00DB52FB" w:rsidP="00DB52FB">
            <w:pPr>
              <w:rPr>
                <w:rFonts w:ascii="Arial" w:hAnsi="Arial" w:cs="Arial"/>
                <w:sz w:val="22"/>
                <w:szCs w:val="22"/>
              </w:rPr>
            </w:pPr>
          </w:p>
          <w:p w14:paraId="13D2A09B" w14:textId="77777777" w:rsidR="00DB52FB" w:rsidRPr="0046503C" w:rsidRDefault="00DB52FB" w:rsidP="00DB52FB">
            <w:pPr>
              <w:rPr>
                <w:rFonts w:ascii="Arial" w:hAnsi="Arial" w:cs="Arial"/>
                <w:sz w:val="22"/>
                <w:szCs w:val="22"/>
              </w:rPr>
            </w:pPr>
          </w:p>
        </w:tc>
      </w:tr>
    </w:tbl>
    <w:p w14:paraId="13D2A09D" w14:textId="77777777" w:rsidR="0092099E" w:rsidRPr="00DB52FB" w:rsidRDefault="0092099E" w:rsidP="00DB52FB">
      <w:pPr>
        <w:rPr>
          <w:rFonts w:ascii="TKTypeRegular" w:hAnsi="TKTypeRegular"/>
          <w:sz w:val="22"/>
          <w:szCs w:val="22"/>
        </w:rPr>
      </w:pPr>
    </w:p>
    <w:p w14:paraId="13D2A09E" w14:textId="77777777" w:rsidR="00DB52FB" w:rsidRPr="00DB52FB" w:rsidRDefault="00DB52FB" w:rsidP="00DB52FB">
      <w:pPr>
        <w:rPr>
          <w:sz w:val="22"/>
          <w:szCs w:val="22"/>
        </w:rPr>
      </w:pPr>
    </w:p>
    <w:p w14:paraId="13D2A09F" w14:textId="77777777" w:rsidR="00DB52FB" w:rsidRPr="0046503C" w:rsidRDefault="00DB52FB" w:rsidP="00DB52FB">
      <w:pPr>
        <w:keepNext/>
        <w:keepLines/>
        <w:jc w:val="both"/>
        <w:rPr>
          <w:rFonts w:ascii="Arial" w:hAnsi="Arial" w:cs="Arial"/>
          <w:sz w:val="22"/>
          <w:szCs w:val="22"/>
        </w:rPr>
      </w:pPr>
      <w:r w:rsidRPr="0046503C">
        <w:rPr>
          <w:rFonts w:ascii="Arial" w:hAnsi="Arial" w:cs="Arial"/>
          <w:sz w:val="22"/>
          <w:szCs w:val="22"/>
        </w:rPr>
        <w:tab/>
      </w:r>
      <w:r w:rsidRPr="0046503C">
        <w:rPr>
          <w:rFonts w:ascii="Arial" w:hAnsi="Arial" w:cs="Arial"/>
          <w:sz w:val="22"/>
          <w:szCs w:val="22"/>
        </w:rPr>
        <w:tab/>
      </w:r>
      <w:r w:rsidR="002320EE">
        <w:rPr>
          <w:rFonts w:ascii="Arial" w:hAnsi="Arial" w:cs="Arial"/>
          <w:sz w:val="22"/>
          <w:szCs w:val="22"/>
        </w:rPr>
        <w:t>7</w:t>
      </w:r>
      <w:r w:rsidRPr="0046503C">
        <w:rPr>
          <w:rFonts w:ascii="Arial" w:hAnsi="Arial" w:cs="Arial"/>
          <w:sz w:val="22"/>
          <w:szCs w:val="22"/>
        </w:rPr>
        <w:t>.</w:t>
      </w:r>
      <w:r w:rsidRPr="0046503C">
        <w:rPr>
          <w:rFonts w:ascii="Arial" w:hAnsi="Arial" w:cs="Arial"/>
          <w:sz w:val="22"/>
          <w:szCs w:val="22"/>
        </w:rPr>
        <w:tab/>
        <w:t>Human Resources</w:t>
      </w:r>
    </w:p>
    <w:p w14:paraId="13D2A0A0" w14:textId="77777777" w:rsidR="00DB52FB" w:rsidRPr="0046503C" w:rsidRDefault="00DB52FB" w:rsidP="00DB52FB">
      <w:pPr>
        <w:rPr>
          <w:rFonts w:ascii="Arial" w:hAnsi="Arial" w:cs="Arial"/>
        </w:rPr>
      </w:pPr>
    </w:p>
    <w:tbl>
      <w:tblPr>
        <w:tblStyle w:val="TableGrid"/>
        <w:tblW w:w="0" w:type="auto"/>
        <w:shd w:val="clear" w:color="auto" w:fill="95B3D7" w:themeFill="accent1" w:themeFillTint="99"/>
        <w:tblLook w:val="04A0" w:firstRow="1" w:lastRow="0" w:firstColumn="1" w:lastColumn="0" w:noHBand="0" w:noVBand="1"/>
      </w:tblPr>
      <w:tblGrid>
        <w:gridCol w:w="2347"/>
        <w:gridCol w:w="1199"/>
        <w:gridCol w:w="1223"/>
        <w:gridCol w:w="2249"/>
        <w:gridCol w:w="2332"/>
      </w:tblGrid>
      <w:tr w:rsidR="00DB52FB" w:rsidRPr="0046503C" w14:paraId="13D2A0A3" w14:textId="77777777" w:rsidTr="00DB52FB">
        <w:tc>
          <w:tcPr>
            <w:tcW w:w="3618" w:type="dxa"/>
            <w:gridSpan w:val="2"/>
            <w:tcBorders>
              <w:bottom w:val="single" w:sz="4" w:space="0" w:color="auto"/>
            </w:tcBorders>
            <w:shd w:val="clear" w:color="auto" w:fill="92CDDC" w:themeFill="accent5" w:themeFillTint="99"/>
          </w:tcPr>
          <w:p w14:paraId="13D2A0A1" w14:textId="77777777" w:rsidR="00DB52FB" w:rsidRPr="0046503C" w:rsidRDefault="00CD2017" w:rsidP="00DB52FB">
            <w:pPr>
              <w:rPr>
                <w:rFonts w:ascii="Arial" w:hAnsi="Arial" w:cs="Arial"/>
                <w:i/>
                <w:color w:val="FFFFFF" w:themeColor="background1"/>
                <w:sz w:val="22"/>
                <w:szCs w:val="22"/>
              </w:rPr>
            </w:pPr>
            <w:r>
              <w:rPr>
                <w:rFonts w:ascii="Arial" w:hAnsi="Arial" w:cs="Arial"/>
                <w:i/>
                <w:color w:val="FFFFFF" w:themeColor="background1"/>
                <w:sz w:val="22"/>
                <w:szCs w:val="22"/>
              </w:rPr>
              <w:t>Human Resources</w:t>
            </w:r>
          </w:p>
        </w:tc>
        <w:tc>
          <w:tcPr>
            <w:tcW w:w="5958" w:type="dxa"/>
            <w:gridSpan w:val="3"/>
            <w:tcBorders>
              <w:bottom w:val="single" w:sz="4" w:space="0" w:color="auto"/>
            </w:tcBorders>
            <w:shd w:val="clear" w:color="auto" w:fill="auto"/>
          </w:tcPr>
          <w:p w14:paraId="13D2A0A2" w14:textId="77777777" w:rsidR="00DB52FB" w:rsidRPr="0046503C" w:rsidRDefault="00A64C9D" w:rsidP="00DB52FB">
            <w:pPr>
              <w:rPr>
                <w:rFonts w:ascii="Arial" w:hAnsi="Arial" w:cs="Arial"/>
                <w:color w:val="FFFFFF" w:themeColor="background1"/>
                <w:sz w:val="22"/>
                <w:szCs w:val="22"/>
              </w:rPr>
            </w:pPr>
            <w:r>
              <w:rPr>
                <w:rFonts w:ascii="Arial" w:hAnsi="Arial" w:cs="Arial"/>
                <w:color w:val="000000" w:themeColor="text1"/>
                <w:sz w:val="22"/>
                <w:szCs w:val="22"/>
              </w:rPr>
              <w:t>Organization</w:t>
            </w:r>
            <w:r w:rsidR="00DB52FB" w:rsidRPr="0046503C">
              <w:rPr>
                <w:rFonts w:ascii="Arial" w:hAnsi="Arial" w:cs="Arial"/>
                <w:color w:val="000000" w:themeColor="text1"/>
                <w:sz w:val="22"/>
                <w:szCs w:val="22"/>
              </w:rPr>
              <w:t>:</w:t>
            </w:r>
          </w:p>
        </w:tc>
      </w:tr>
      <w:tr w:rsidR="00DB52FB" w:rsidRPr="0046503C" w14:paraId="13D2A0A7" w14:textId="77777777" w:rsidTr="00DB52FB">
        <w:trPr>
          <w:trHeight w:val="548"/>
        </w:trPr>
        <w:tc>
          <w:tcPr>
            <w:tcW w:w="3618" w:type="dxa"/>
            <w:gridSpan w:val="2"/>
            <w:tcBorders>
              <w:bottom w:val="single" w:sz="4" w:space="0" w:color="auto"/>
            </w:tcBorders>
            <w:shd w:val="clear" w:color="auto" w:fill="B6DDE8" w:themeFill="accent5" w:themeFillTint="66"/>
          </w:tcPr>
          <w:p w14:paraId="13D2A0A4" w14:textId="77777777" w:rsidR="00DB52FB" w:rsidRPr="0046503C" w:rsidRDefault="00DB52FB" w:rsidP="00DB52FB">
            <w:pPr>
              <w:rPr>
                <w:rFonts w:ascii="Arial" w:hAnsi="Arial" w:cs="Arial"/>
                <w:sz w:val="22"/>
                <w:szCs w:val="22"/>
              </w:rPr>
            </w:pPr>
            <w:r w:rsidRPr="0046503C">
              <w:rPr>
                <w:rFonts w:ascii="Arial" w:hAnsi="Arial" w:cs="Arial"/>
                <w:sz w:val="22"/>
                <w:szCs w:val="22"/>
              </w:rPr>
              <w:t>Name:</w:t>
            </w:r>
          </w:p>
          <w:p w14:paraId="13D2A0A5" w14:textId="77777777" w:rsidR="00DB52FB" w:rsidRPr="0046503C" w:rsidRDefault="00DB52FB" w:rsidP="00DB52FB">
            <w:pPr>
              <w:rPr>
                <w:rFonts w:ascii="Arial" w:hAnsi="Arial" w:cs="Arial"/>
                <w:sz w:val="22"/>
                <w:szCs w:val="22"/>
              </w:rPr>
            </w:pPr>
          </w:p>
        </w:tc>
        <w:tc>
          <w:tcPr>
            <w:tcW w:w="5958" w:type="dxa"/>
            <w:gridSpan w:val="3"/>
            <w:tcBorders>
              <w:bottom w:val="single" w:sz="4" w:space="0" w:color="auto"/>
            </w:tcBorders>
            <w:shd w:val="clear" w:color="auto" w:fill="B6DDE8" w:themeFill="accent5" w:themeFillTint="66"/>
          </w:tcPr>
          <w:p w14:paraId="13D2A0A6" w14:textId="77777777" w:rsidR="00DB52FB" w:rsidRPr="0046503C" w:rsidRDefault="00DB52FB" w:rsidP="00DB52FB">
            <w:pPr>
              <w:rPr>
                <w:rFonts w:ascii="Arial" w:hAnsi="Arial" w:cs="Arial"/>
                <w:sz w:val="22"/>
                <w:szCs w:val="22"/>
              </w:rPr>
            </w:pPr>
            <w:r w:rsidRPr="0046503C">
              <w:rPr>
                <w:rFonts w:ascii="Arial" w:hAnsi="Arial" w:cs="Arial"/>
                <w:sz w:val="22"/>
                <w:szCs w:val="22"/>
              </w:rPr>
              <w:t>Title:</w:t>
            </w:r>
          </w:p>
        </w:tc>
      </w:tr>
      <w:tr w:rsidR="00DB52FB" w:rsidRPr="0046503C" w14:paraId="13D2A0AF" w14:textId="77777777" w:rsidTr="00DB52FB">
        <w:trPr>
          <w:trHeight w:val="548"/>
        </w:trPr>
        <w:tc>
          <w:tcPr>
            <w:tcW w:w="2394" w:type="dxa"/>
            <w:shd w:val="clear" w:color="auto" w:fill="DAEEF3" w:themeFill="accent5" w:themeFillTint="33"/>
          </w:tcPr>
          <w:p w14:paraId="13D2A0A8" w14:textId="77777777" w:rsidR="00DB52FB" w:rsidRPr="0046503C" w:rsidRDefault="00DB52FB" w:rsidP="00DB52FB">
            <w:pPr>
              <w:rPr>
                <w:rFonts w:ascii="Arial" w:hAnsi="Arial" w:cs="Arial"/>
                <w:sz w:val="22"/>
                <w:szCs w:val="22"/>
              </w:rPr>
            </w:pPr>
            <w:r w:rsidRPr="0046503C">
              <w:rPr>
                <w:rFonts w:ascii="Arial" w:hAnsi="Arial" w:cs="Arial"/>
                <w:sz w:val="22"/>
                <w:szCs w:val="22"/>
              </w:rPr>
              <w:t>Mobile Phone:</w:t>
            </w:r>
          </w:p>
        </w:tc>
        <w:tc>
          <w:tcPr>
            <w:tcW w:w="2484" w:type="dxa"/>
            <w:gridSpan w:val="2"/>
            <w:shd w:val="clear" w:color="auto" w:fill="DAEEF3" w:themeFill="accent5" w:themeFillTint="33"/>
          </w:tcPr>
          <w:p w14:paraId="13D2A0A9" w14:textId="77777777" w:rsidR="00DB52FB" w:rsidRPr="0046503C" w:rsidRDefault="00DB52FB" w:rsidP="00DB52FB">
            <w:pPr>
              <w:rPr>
                <w:rFonts w:ascii="Arial" w:hAnsi="Arial" w:cs="Arial"/>
                <w:sz w:val="22"/>
                <w:szCs w:val="22"/>
              </w:rPr>
            </w:pPr>
            <w:r w:rsidRPr="0046503C">
              <w:rPr>
                <w:rFonts w:ascii="Arial" w:hAnsi="Arial" w:cs="Arial"/>
                <w:sz w:val="22"/>
                <w:szCs w:val="22"/>
              </w:rPr>
              <w:t>Home Phone:</w:t>
            </w:r>
          </w:p>
        </w:tc>
        <w:tc>
          <w:tcPr>
            <w:tcW w:w="2304" w:type="dxa"/>
            <w:shd w:val="clear" w:color="auto" w:fill="DAEEF3" w:themeFill="accent5" w:themeFillTint="33"/>
          </w:tcPr>
          <w:p w14:paraId="13D2A0AA" w14:textId="77777777" w:rsidR="00DB52FB" w:rsidRPr="0046503C" w:rsidRDefault="00DB52FB" w:rsidP="00DB52FB">
            <w:pPr>
              <w:rPr>
                <w:rFonts w:ascii="Arial" w:hAnsi="Arial" w:cs="Arial"/>
                <w:sz w:val="22"/>
                <w:szCs w:val="22"/>
              </w:rPr>
            </w:pPr>
            <w:r w:rsidRPr="0046503C">
              <w:rPr>
                <w:rFonts w:ascii="Arial" w:hAnsi="Arial" w:cs="Arial"/>
                <w:sz w:val="22"/>
                <w:szCs w:val="22"/>
              </w:rPr>
              <w:t>Office Phone:</w:t>
            </w:r>
          </w:p>
        </w:tc>
        <w:tc>
          <w:tcPr>
            <w:tcW w:w="2394" w:type="dxa"/>
            <w:shd w:val="clear" w:color="auto" w:fill="DAEEF3" w:themeFill="accent5" w:themeFillTint="33"/>
          </w:tcPr>
          <w:p w14:paraId="13D2A0AB" w14:textId="77777777" w:rsidR="00DB52FB" w:rsidRPr="0046503C" w:rsidRDefault="00DB52FB" w:rsidP="00DB52FB">
            <w:pPr>
              <w:rPr>
                <w:rFonts w:ascii="Arial" w:hAnsi="Arial" w:cs="Arial"/>
                <w:sz w:val="22"/>
                <w:szCs w:val="22"/>
              </w:rPr>
            </w:pPr>
            <w:r w:rsidRPr="0046503C">
              <w:rPr>
                <w:rFonts w:ascii="Arial" w:hAnsi="Arial" w:cs="Arial"/>
                <w:sz w:val="22"/>
                <w:szCs w:val="22"/>
              </w:rPr>
              <w:t>Email:</w:t>
            </w:r>
          </w:p>
          <w:p w14:paraId="13D2A0AC" w14:textId="77777777" w:rsidR="00DB52FB" w:rsidRPr="0046503C" w:rsidRDefault="00DB52FB" w:rsidP="00DB52FB">
            <w:pPr>
              <w:rPr>
                <w:rFonts w:ascii="Arial" w:hAnsi="Arial" w:cs="Arial"/>
                <w:sz w:val="22"/>
                <w:szCs w:val="22"/>
              </w:rPr>
            </w:pPr>
          </w:p>
          <w:p w14:paraId="13D2A0AD" w14:textId="77777777" w:rsidR="00DB52FB" w:rsidRPr="0046503C" w:rsidRDefault="00DB52FB" w:rsidP="00DB52FB">
            <w:pPr>
              <w:rPr>
                <w:rFonts w:ascii="Arial" w:hAnsi="Arial" w:cs="Arial"/>
                <w:sz w:val="22"/>
                <w:szCs w:val="22"/>
              </w:rPr>
            </w:pPr>
          </w:p>
          <w:p w14:paraId="13D2A0AE" w14:textId="77777777" w:rsidR="00DB52FB" w:rsidRPr="0046503C" w:rsidRDefault="00DB52FB" w:rsidP="00DB52FB">
            <w:pPr>
              <w:rPr>
                <w:rFonts w:ascii="Arial" w:hAnsi="Arial" w:cs="Arial"/>
                <w:sz w:val="22"/>
                <w:szCs w:val="22"/>
              </w:rPr>
            </w:pPr>
          </w:p>
        </w:tc>
      </w:tr>
    </w:tbl>
    <w:p w14:paraId="13D2A0B0" w14:textId="77777777" w:rsidR="00DB52FB" w:rsidRPr="0046503C" w:rsidRDefault="00DB52FB" w:rsidP="00DB52FB">
      <w:pPr>
        <w:rPr>
          <w:rFonts w:ascii="Arial" w:hAnsi="Arial" w:cs="Arial"/>
          <w:sz w:val="22"/>
          <w:szCs w:val="22"/>
        </w:rPr>
      </w:pPr>
    </w:p>
    <w:p w14:paraId="13D2A0B1" w14:textId="77777777" w:rsidR="00DB52FB" w:rsidRPr="003F5FD8" w:rsidRDefault="00DB52FB" w:rsidP="00DB52FB">
      <w:pPr>
        <w:rPr>
          <w:rFonts w:cstheme="minorHAnsi"/>
          <w:b/>
          <w:i/>
          <w:color w:val="000000" w:themeColor="text1"/>
        </w:rPr>
      </w:pPr>
    </w:p>
    <w:p w14:paraId="13D2A0B2" w14:textId="77777777" w:rsidR="0092099E" w:rsidRPr="0046503C" w:rsidRDefault="002320EE" w:rsidP="0092099E">
      <w:pPr>
        <w:keepNext/>
        <w:keepLines/>
        <w:jc w:val="both"/>
        <w:rPr>
          <w:rFonts w:ascii="Arial" w:hAnsi="Arial" w:cs="Arial"/>
          <w:sz w:val="22"/>
          <w:szCs w:val="22"/>
        </w:rPr>
      </w:pPr>
      <w:r>
        <w:rPr>
          <w:rFonts w:ascii="Arial" w:hAnsi="Arial" w:cs="Arial"/>
          <w:sz w:val="22"/>
          <w:szCs w:val="22"/>
        </w:rPr>
        <w:tab/>
      </w:r>
      <w:r>
        <w:rPr>
          <w:rFonts w:ascii="Arial" w:hAnsi="Arial" w:cs="Arial"/>
          <w:sz w:val="22"/>
          <w:szCs w:val="22"/>
        </w:rPr>
        <w:tab/>
        <w:t>8</w:t>
      </w:r>
      <w:r w:rsidR="0092099E" w:rsidRPr="0046503C">
        <w:rPr>
          <w:rFonts w:ascii="Arial" w:hAnsi="Arial" w:cs="Arial"/>
          <w:sz w:val="22"/>
          <w:szCs w:val="22"/>
        </w:rPr>
        <w:t>.</w:t>
      </w:r>
      <w:r w:rsidR="0092099E" w:rsidRPr="0046503C">
        <w:rPr>
          <w:rFonts w:ascii="Arial" w:hAnsi="Arial" w:cs="Arial"/>
          <w:sz w:val="22"/>
          <w:szCs w:val="22"/>
        </w:rPr>
        <w:tab/>
        <w:t>Finance</w:t>
      </w:r>
    </w:p>
    <w:p w14:paraId="13D2A0B3" w14:textId="77777777" w:rsidR="0092099E" w:rsidRPr="0046503C" w:rsidRDefault="0092099E" w:rsidP="0092099E">
      <w:pPr>
        <w:keepNext/>
        <w:keepLines/>
        <w:jc w:val="both"/>
        <w:rPr>
          <w:rFonts w:ascii="Arial" w:hAnsi="Arial" w:cs="Arial"/>
          <w:sz w:val="22"/>
          <w:szCs w:val="22"/>
        </w:rPr>
      </w:pPr>
    </w:p>
    <w:tbl>
      <w:tblPr>
        <w:tblStyle w:val="TableGrid"/>
        <w:tblW w:w="0" w:type="auto"/>
        <w:shd w:val="clear" w:color="auto" w:fill="95B3D7" w:themeFill="accent1" w:themeFillTint="99"/>
        <w:tblLook w:val="04A0" w:firstRow="1" w:lastRow="0" w:firstColumn="1" w:lastColumn="0" w:noHBand="0" w:noVBand="1"/>
      </w:tblPr>
      <w:tblGrid>
        <w:gridCol w:w="2341"/>
        <w:gridCol w:w="1199"/>
        <w:gridCol w:w="1225"/>
        <w:gridCol w:w="2251"/>
        <w:gridCol w:w="2334"/>
      </w:tblGrid>
      <w:tr w:rsidR="0092099E" w:rsidRPr="0046503C" w14:paraId="13D2A0B6" w14:textId="77777777" w:rsidTr="001809CF">
        <w:tc>
          <w:tcPr>
            <w:tcW w:w="3618" w:type="dxa"/>
            <w:gridSpan w:val="2"/>
            <w:tcBorders>
              <w:bottom w:val="single" w:sz="4" w:space="0" w:color="auto"/>
            </w:tcBorders>
            <w:shd w:val="clear" w:color="auto" w:fill="C2D69B" w:themeFill="accent3" w:themeFillTint="99"/>
          </w:tcPr>
          <w:p w14:paraId="13D2A0B4" w14:textId="77777777" w:rsidR="0092099E" w:rsidRPr="0046503C" w:rsidRDefault="00CD2017" w:rsidP="00CD2017">
            <w:pPr>
              <w:rPr>
                <w:rFonts w:ascii="Arial" w:hAnsi="Arial" w:cs="Arial"/>
                <w:i/>
                <w:color w:val="FFFFFF" w:themeColor="background1"/>
                <w:sz w:val="22"/>
                <w:szCs w:val="22"/>
              </w:rPr>
            </w:pPr>
            <w:r>
              <w:rPr>
                <w:rFonts w:ascii="Arial" w:hAnsi="Arial" w:cs="Arial"/>
                <w:i/>
                <w:color w:val="FFFFFF" w:themeColor="background1"/>
                <w:sz w:val="22"/>
                <w:szCs w:val="22"/>
              </w:rPr>
              <w:t>Finance</w:t>
            </w:r>
          </w:p>
        </w:tc>
        <w:tc>
          <w:tcPr>
            <w:tcW w:w="5958" w:type="dxa"/>
            <w:gridSpan w:val="3"/>
            <w:tcBorders>
              <w:bottom w:val="single" w:sz="4" w:space="0" w:color="auto"/>
            </w:tcBorders>
            <w:shd w:val="clear" w:color="auto" w:fill="auto"/>
          </w:tcPr>
          <w:p w14:paraId="13D2A0B5" w14:textId="77777777" w:rsidR="0092099E" w:rsidRPr="0046503C" w:rsidRDefault="00A64C9D" w:rsidP="001809CF">
            <w:pPr>
              <w:rPr>
                <w:rFonts w:ascii="Arial" w:hAnsi="Arial" w:cs="Arial"/>
                <w:color w:val="FFFFFF" w:themeColor="background1"/>
                <w:sz w:val="22"/>
                <w:szCs w:val="22"/>
              </w:rPr>
            </w:pPr>
            <w:r>
              <w:rPr>
                <w:rFonts w:ascii="Arial" w:hAnsi="Arial" w:cs="Arial"/>
                <w:color w:val="000000" w:themeColor="text1"/>
                <w:sz w:val="22"/>
                <w:szCs w:val="22"/>
              </w:rPr>
              <w:t>Organization</w:t>
            </w:r>
            <w:r w:rsidR="0092099E" w:rsidRPr="0046503C">
              <w:rPr>
                <w:rFonts w:ascii="Arial" w:hAnsi="Arial" w:cs="Arial"/>
                <w:color w:val="000000" w:themeColor="text1"/>
                <w:sz w:val="22"/>
                <w:szCs w:val="22"/>
              </w:rPr>
              <w:t>:</w:t>
            </w:r>
          </w:p>
        </w:tc>
      </w:tr>
      <w:tr w:rsidR="0092099E" w:rsidRPr="0046503C" w14:paraId="13D2A0BA" w14:textId="77777777" w:rsidTr="001809CF">
        <w:trPr>
          <w:trHeight w:val="548"/>
        </w:trPr>
        <w:tc>
          <w:tcPr>
            <w:tcW w:w="3618" w:type="dxa"/>
            <w:gridSpan w:val="2"/>
            <w:tcBorders>
              <w:bottom w:val="single" w:sz="4" w:space="0" w:color="auto"/>
            </w:tcBorders>
            <w:shd w:val="clear" w:color="auto" w:fill="D6E3BC" w:themeFill="accent3" w:themeFillTint="66"/>
          </w:tcPr>
          <w:p w14:paraId="13D2A0B7" w14:textId="77777777" w:rsidR="0092099E" w:rsidRPr="0046503C" w:rsidRDefault="0092099E" w:rsidP="001809CF">
            <w:pPr>
              <w:rPr>
                <w:rFonts w:ascii="Arial" w:hAnsi="Arial" w:cs="Arial"/>
                <w:sz w:val="22"/>
                <w:szCs w:val="22"/>
              </w:rPr>
            </w:pPr>
            <w:r w:rsidRPr="0046503C">
              <w:rPr>
                <w:rFonts w:ascii="Arial" w:hAnsi="Arial" w:cs="Arial"/>
                <w:sz w:val="22"/>
                <w:szCs w:val="22"/>
              </w:rPr>
              <w:t>Name:</w:t>
            </w:r>
          </w:p>
          <w:p w14:paraId="13D2A0B8" w14:textId="77777777" w:rsidR="0092099E" w:rsidRPr="0046503C" w:rsidRDefault="0092099E" w:rsidP="001809CF">
            <w:pPr>
              <w:rPr>
                <w:rFonts w:ascii="Arial" w:hAnsi="Arial" w:cs="Arial"/>
                <w:sz w:val="22"/>
                <w:szCs w:val="22"/>
              </w:rPr>
            </w:pPr>
          </w:p>
        </w:tc>
        <w:tc>
          <w:tcPr>
            <w:tcW w:w="5958" w:type="dxa"/>
            <w:gridSpan w:val="3"/>
            <w:tcBorders>
              <w:bottom w:val="single" w:sz="4" w:space="0" w:color="auto"/>
            </w:tcBorders>
            <w:shd w:val="clear" w:color="auto" w:fill="D6E3BC" w:themeFill="accent3" w:themeFillTint="66"/>
          </w:tcPr>
          <w:p w14:paraId="13D2A0B9" w14:textId="77777777" w:rsidR="0092099E" w:rsidRPr="0046503C" w:rsidRDefault="0092099E" w:rsidP="001809CF">
            <w:pPr>
              <w:rPr>
                <w:rFonts w:ascii="Arial" w:hAnsi="Arial" w:cs="Arial"/>
                <w:sz w:val="22"/>
                <w:szCs w:val="22"/>
              </w:rPr>
            </w:pPr>
            <w:r w:rsidRPr="0046503C">
              <w:rPr>
                <w:rFonts w:ascii="Arial" w:hAnsi="Arial" w:cs="Arial"/>
                <w:sz w:val="22"/>
                <w:szCs w:val="22"/>
              </w:rPr>
              <w:t>Title:</w:t>
            </w:r>
          </w:p>
        </w:tc>
      </w:tr>
      <w:tr w:rsidR="0092099E" w:rsidRPr="0046503C" w14:paraId="13D2A0C2" w14:textId="77777777" w:rsidTr="001809CF">
        <w:trPr>
          <w:trHeight w:val="548"/>
        </w:trPr>
        <w:tc>
          <w:tcPr>
            <w:tcW w:w="2394" w:type="dxa"/>
            <w:shd w:val="clear" w:color="auto" w:fill="EAF1DD" w:themeFill="accent3" w:themeFillTint="33"/>
          </w:tcPr>
          <w:p w14:paraId="13D2A0BB" w14:textId="77777777" w:rsidR="0092099E" w:rsidRPr="0046503C" w:rsidRDefault="0092099E" w:rsidP="001809CF">
            <w:pPr>
              <w:rPr>
                <w:rFonts w:ascii="Arial" w:hAnsi="Arial" w:cs="Arial"/>
                <w:sz w:val="22"/>
                <w:szCs w:val="22"/>
              </w:rPr>
            </w:pPr>
            <w:r w:rsidRPr="0046503C">
              <w:rPr>
                <w:rFonts w:ascii="Arial" w:hAnsi="Arial" w:cs="Arial"/>
                <w:sz w:val="22"/>
                <w:szCs w:val="22"/>
              </w:rPr>
              <w:t>Mobile Phone:</w:t>
            </w:r>
          </w:p>
        </w:tc>
        <w:tc>
          <w:tcPr>
            <w:tcW w:w="2484" w:type="dxa"/>
            <w:gridSpan w:val="2"/>
            <w:shd w:val="clear" w:color="auto" w:fill="EAF1DD" w:themeFill="accent3" w:themeFillTint="33"/>
          </w:tcPr>
          <w:p w14:paraId="13D2A0BC" w14:textId="77777777" w:rsidR="0092099E" w:rsidRPr="0046503C" w:rsidRDefault="0092099E" w:rsidP="001809CF">
            <w:pPr>
              <w:rPr>
                <w:rFonts w:ascii="Arial" w:hAnsi="Arial" w:cs="Arial"/>
                <w:sz w:val="22"/>
                <w:szCs w:val="22"/>
              </w:rPr>
            </w:pPr>
            <w:r w:rsidRPr="0046503C">
              <w:rPr>
                <w:rFonts w:ascii="Arial" w:hAnsi="Arial" w:cs="Arial"/>
                <w:sz w:val="22"/>
                <w:szCs w:val="22"/>
              </w:rPr>
              <w:t>Home Phone:</w:t>
            </w:r>
          </w:p>
        </w:tc>
        <w:tc>
          <w:tcPr>
            <w:tcW w:w="2304" w:type="dxa"/>
            <w:shd w:val="clear" w:color="auto" w:fill="EAF1DD" w:themeFill="accent3" w:themeFillTint="33"/>
          </w:tcPr>
          <w:p w14:paraId="13D2A0BD" w14:textId="77777777" w:rsidR="0092099E" w:rsidRPr="0046503C" w:rsidRDefault="0092099E" w:rsidP="001809CF">
            <w:pPr>
              <w:rPr>
                <w:rFonts w:ascii="Arial" w:hAnsi="Arial" w:cs="Arial"/>
                <w:sz w:val="22"/>
                <w:szCs w:val="22"/>
              </w:rPr>
            </w:pPr>
            <w:r w:rsidRPr="0046503C">
              <w:rPr>
                <w:rFonts w:ascii="Arial" w:hAnsi="Arial" w:cs="Arial"/>
                <w:sz w:val="22"/>
                <w:szCs w:val="22"/>
              </w:rPr>
              <w:t>Office Phone:</w:t>
            </w:r>
          </w:p>
        </w:tc>
        <w:tc>
          <w:tcPr>
            <w:tcW w:w="2394" w:type="dxa"/>
            <w:shd w:val="clear" w:color="auto" w:fill="EAF1DD" w:themeFill="accent3" w:themeFillTint="33"/>
          </w:tcPr>
          <w:p w14:paraId="13D2A0BE" w14:textId="77777777" w:rsidR="0092099E" w:rsidRPr="0046503C" w:rsidRDefault="0092099E" w:rsidP="001809CF">
            <w:pPr>
              <w:rPr>
                <w:rFonts w:ascii="Arial" w:hAnsi="Arial" w:cs="Arial"/>
                <w:sz w:val="22"/>
                <w:szCs w:val="22"/>
              </w:rPr>
            </w:pPr>
            <w:r w:rsidRPr="0046503C">
              <w:rPr>
                <w:rFonts w:ascii="Arial" w:hAnsi="Arial" w:cs="Arial"/>
                <w:sz w:val="22"/>
                <w:szCs w:val="22"/>
              </w:rPr>
              <w:t>Email:</w:t>
            </w:r>
          </w:p>
          <w:p w14:paraId="13D2A0BF" w14:textId="77777777" w:rsidR="0092099E" w:rsidRPr="0046503C" w:rsidRDefault="0092099E" w:rsidP="001809CF">
            <w:pPr>
              <w:rPr>
                <w:rFonts w:ascii="Arial" w:hAnsi="Arial" w:cs="Arial"/>
                <w:sz w:val="22"/>
                <w:szCs w:val="22"/>
              </w:rPr>
            </w:pPr>
          </w:p>
          <w:p w14:paraId="13D2A0C0" w14:textId="77777777" w:rsidR="0092099E" w:rsidRPr="0046503C" w:rsidRDefault="0092099E" w:rsidP="001809CF">
            <w:pPr>
              <w:rPr>
                <w:rFonts w:ascii="Arial" w:hAnsi="Arial" w:cs="Arial"/>
                <w:sz w:val="22"/>
                <w:szCs w:val="22"/>
              </w:rPr>
            </w:pPr>
          </w:p>
          <w:p w14:paraId="13D2A0C1" w14:textId="77777777" w:rsidR="0092099E" w:rsidRPr="0046503C" w:rsidRDefault="0092099E" w:rsidP="001809CF">
            <w:pPr>
              <w:rPr>
                <w:rFonts w:ascii="Arial" w:hAnsi="Arial" w:cs="Arial"/>
                <w:sz w:val="22"/>
                <w:szCs w:val="22"/>
              </w:rPr>
            </w:pPr>
          </w:p>
        </w:tc>
      </w:tr>
    </w:tbl>
    <w:p w14:paraId="13D2A0C3" w14:textId="77777777" w:rsidR="0092099E" w:rsidRPr="0046503C" w:rsidRDefault="0092099E" w:rsidP="0092099E">
      <w:pPr>
        <w:rPr>
          <w:rFonts w:ascii="Arial" w:hAnsi="Arial" w:cs="Arial"/>
          <w:sz w:val="22"/>
          <w:szCs w:val="22"/>
        </w:rPr>
      </w:pPr>
    </w:p>
    <w:p w14:paraId="13D2A0C4" w14:textId="77777777" w:rsidR="0092099E" w:rsidRDefault="0092099E" w:rsidP="0092099E">
      <w:pPr>
        <w:rPr>
          <w:rFonts w:cstheme="minorHAnsi"/>
          <w:b/>
          <w:i/>
          <w:color w:val="000000" w:themeColor="text1"/>
        </w:rPr>
      </w:pPr>
    </w:p>
    <w:p w14:paraId="13D2A0C5" w14:textId="77777777" w:rsidR="002320EE" w:rsidRPr="003F5FD8" w:rsidRDefault="002320EE" w:rsidP="0092099E">
      <w:pPr>
        <w:rPr>
          <w:rFonts w:cstheme="minorHAnsi"/>
          <w:b/>
          <w:i/>
          <w:color w:val="000000" w:themeColor="text1"/>
        </w:rPr>
      </w:pPr>
    </w:p>
    <w:p w14:paraId="13D2A0C6" w14:textId="77777777" w:rsidR="0092099E" w:rsidRPr="0046503C" w:rsidRDefault="006521D5" w:rsidP="0092099E">
      <w:pPr>
        <w:keepNext/>
        <w:keepLines/>
        <w:ind w:left="720"/>
        <w:jc w:val="both"/>
        <w:rPr>
          <w:rFonts w:ascii="Arial" w:hAnsi="Arial" w:cs="Arial"/>
          <w:caps/>
          <w:sz w:val="22"/>
          <w:szCs w:val="22"/>
        </w:rPr>
      </w:pPr>
      <w:r>
        <w:rPr>
          <w:rFonts w:ascii="Arial" w:hAnsi="Arial" w:cs="Arial"/>
          <w:sz w:val="22"/>
          <w:szCs w:val="22"/>
        </w:rPr>
        <w:t>C</w:t>
      </w:r>
      <w:r w:rsidR="0092099E" w:rsidRPr="0046503C">
        <w:rPr>
          <w:rFonts w:ascii="Arial" w:hAnsi="Arial" w:cs="Arial"/>
          <w:sz w:val="22"/>
          <w:szCs w:val="22"/>
        </w:rPr>
        <w:t>.</w:t>
      </w:r>
      <w:r w:rsidR="0092099E" w:rsidRPr="0046503C">
        <w:rPr>
          <w:rFonts w:ascii="Arial" w:hAnsi="Arial" w:cs="Arial"/>
          <w:b/>
          <w:sz w:val="22"/>
          <w:szCs w:val="22"/>
        </w:rPr>
        <w:tab/>
      </w:r>
      <w:r w:rsidR="0092099E" w:rsidRPr="0046503C">
        <w:rPr>
          <w:rFonts w:ascii="Arial" w:hAnsi="Arial" w:cs="Arial"/>
          <w:caps/>
          <w:sz w:val="22"/>
          <w:szCs w:val="22"/>
          <w:u w:val="single"/>
        </w:rPr>
        <w:t>EXTERNAL IRT CONTACT LIST</w:t>
      </w:r>
      <w:r w:rsidR="0092099E" w:rsidRPr="0046503C">
        <w:rPr>
          <w:rFonts w:ascii="Arial" w:hAnsi="Arial" w:cs="Arial"/>
          <w:caps/>
          <w:sz w:val="22"/>
          <w:szCs w:val="22"/>
        </w:rPr>
        <w:t xml:space="preserve">. </w:t>
      </w:r>
    </w:p>
    <w:p w14:paraId="13D2A0C7" w14:textId="77777777" w:rsidR="001809CF" w:rsidRDefault="001809CF" w:rsidP="001809CF">
      <w:pPr>
        <w:keepNext/>
        <w:keepLines/>
        <w:jc w:val="both"/>
        <w:rPr>
          <w:rFonts w:ascii="Arial" w:hAnsi="Arial" w:cs="Arial"/>
          <w:caps/>
          <w:sz w:val="22"/>
          <w:szCs w:val="22"/>
        </w:rPr>
      </w:pPr>
    </w:p>
    <w:p w14:paraId="13D2A0C8" w14:textId="77777777" w:rsidR="002320EE" w:rsidRPr="00C073EE" w:rsidRDefault="002320EE" w:rsidP="002320EE">
      <w:pPr>
        <w:keepNext/>
        <w:keepLines/>
        <w:ind w:left="720" w:firstLine="720"/>
        <w:jc w:val="both"/>
        <w:rPr>
          <w:rFonts w:ascii="Arial" w:hAnsi="Arial" w:cs="Arial"/>
          <w:sz w:val="22"/>
          <w:szCs w:val="22"/>
        </w:rPr>
      </w:pPr>
      <w:r>
        <w:rPr>
          <w:rFonts w:ascii="Arial" w:hAnsi="Arial" w:cs="Arial"/>
          <w:sz w:val="22"/>
          <w:szCs w:val="22"/>
        </w:rPr>
        <w:t>1</w:t>
      </w:r>
      <w:r w:rsidRPr="00C073EE">
        <w:rPr>
          <w:rFonts w:ascii="Arial" w:hAnsi="Arial" w:cs="Arial"/>
          <w:sz w:val="22"/>
          <w:szCs w:val="22"/>
        </w:rPr>
        <w:t>.</w:t>
      </w:r>
      <w:r w:rsidRPr="00C073EE">
        <w:rPr>
          <w:rFonts w:ascii="Arial" w:hAnsi="Arial" w:cs="Arial"/>
          <w:sz w:val="22"/>
          <w:szCs w:val="22"/>
        </w:rPr>
        <w:tab/>
      </w:r>
      <w:r>
        <w:rPr>
          <w:rFonts w:ascii="Arial" w:hAnsi="Arial" w:cs="Arial"/>
          <w:sz w:val="22"/>
          <w:szCs w:val="22"/>
        </w:rPr>
        <w:t>External Insurance &amp; Risk</w:t>
      </w:r>
    </w:p>
    <w:p w14:paraId="13D2A0C9" w14:textId="77777777" w:rsidR="002320EE" w:rsidRPr="00C073EE" w:rsidRDefault="002320EE" w:rsidP="002320EE">
      <w:pPr>
        <w:keepNext/>
        <w:keepLines/>
        <w:jc w:val="both"/>
        <w:rPr>
          <w:rFonts w:ascii="Arial" w:hAnsi="Arial" w:cs="Arial"/>
          <w:sz w:val="22"/>
          <w:szCs w:val="22"/>
        </w:rPr>
      </w:pPr>
    </w:p>
    <w:tbl>
      <w:tblPr>
        <w:tblStyle w:val="TableGrid"/>
        <w:tblW w:w="0" w:type="auto"/>
        <w:shd w:val="clear" w:color="auto" w:fill="95B3D7" w:themeFill="accent1" w:themeFillTint="99"/>
        <w:tblLook w:val="04A0" w:firstRow="1" w:lastRow="0" w:firstColumn="1" w:lastColumn="0" w:noHBand="0" w:noVBand="1"/>
      </w:tblPr>
      <w:tblGrid>
        <w:gridCol w:w="2344"/>
        <w:gridCol w:w="1637"/>
        <w:gridCol w:w="786"/>
        <w:gridCol w:w="2250"/>
        <w:gridCol w:w="2333"/>
      </w:tblGrid>
      <w:tr w:rsidR="002320EE" w:rsidRPr="00C073EE" w14:paraId="13D2A0CC" w14:textId="77777777" w:rsidTr="002320EE">
        <w:tc>
          <w:tcPr>
            <w:tcW w:w="4068" w:type="dxa"/>
            <w:gridSpan w:val="2"/>
            <w:tcBorders>
              <w:bottom w:val="single" w:sz="4" w:space="0" w:color="auto"/>
            </w:tcBorders>
            <w:shd w:val="clear" w:color="auto" w:fill="F0EA00"/>
          </w:tcPr>
          <w:p w14:paraId="13D2A0CA" w14:textId="77777777" w:rsidR="002320EE" w:rsidRPr="00C073EE" w:rsidRDefault="002320EE" w:rsidP="00CD2017">
            <w:pPr>
              <w:rPr>
                <w:rFonts w:ascii="Arial" w:hAnsi="Arial" w:cs="Arial"/>
                <w:i/>
                <w:color w:val="FFFFFF" w:themeColor="background1"/>
                <w:sz w:val="22"/>
                <w:szCs w:val="22"/>
              </w:rPr>
            </w:pPr>
            <w:r>
              <w:rPr>
                <w:rFonts w:ascii="Arial" w:hAnsi="Arial" w:cs="Arial"/>
                <w:i/>
                <w:color w:val="000000" w:themeColor="text1"/>
                <w:sz w:val="22"/>
                <w:szCs w:val="22"/>
              </w:rPr>
              <w:t xml:space="preserve">External </w:t>
            </w:r>
            <w:r w:rsidRPr="006E1522">
              <w:rPr>
                <w:rFonts w:ascii="Arial" w:hAnsi="Arial" w:cs="Arial"/>
                <w:i/>
                <w:color w:val="000000" w:themeColor="text1"/>
                <w:sz w:val="22"/>
                <w:szCs w:val="22"/>
              </w:rPr>
              <w:t>Insurance &amp; Risk</w:t>
            </w:r>
          </w:p>
        </w:tc>
        <w:tc>
          <w:tcPr>
            <w:tcW w:w="5508" w:type="dxa"/>
            <w:gridSpan w:val="3"/>
            <w:tcBorders>
              <w:bottom w:val="single" w:sz="4" w:space="0" w:color="auto"/>
            </w:tcBorders>
            <w:shd w:val="clear" w:color="auto" w:fill="auto"/>
          </w:tcPr>
          <w:p w14:paraId="13D2A0CB" w14:textId="77777777" w:rsidR="002320EE" w:rsidRPr="00C073EE" w:rsidRDefault="00A64C9D" w:rsidP="00D77DF4">
            <w:pPr>
              <w:rPr>
                <w:rFonts w:ascii="Arial" w:hAnsi="Arial" w:cs="Arial"/>
                <w:color w:val="FFFFFF" w:themeColor="background1"/>
                <w:sz w:val="22"/>
                <w:szCs w:val="22"/>
              </w:rPr>
            </w:pPr>
            <w:r>
              <w:rPr>
                <w:rFonts w:ascii="Arial" w:hAnsi="Arial" w:cs="Arial"/>
                <w:color w:val="000000" w:themeColor="text1"/>
                <w:sz w:val="22"/>
                <w:szCs w:val="22"/>
              </w:rPr>
              <w:t>Organization</w:t>
            </w:r>
            <w:r w:rsidR="002320EE" w:rsidRPr="00C073EE">
              <w:rPr>
                <w:rFonts w:ascii="Arial" w:hAnsi="Arial" w:cs="Arial"/>
                <w:color w:val="000000" w:themeColor="text1"/>
                <w:sz w:val="22"/>
                <w:szCs w:val="22"/>
              </w:rPr>
              <w:t>:</w:t>
            </w:r>
          </w:p>
        </w:tc>
      </w:tr>
      <w:tr w:rsidR="002320EE" w:rsidRPr="00C073EE" w14:paraId="13D2A0D0" w14:textId="77777777" w:rsidTr="002320EE">
        <w:trPr>
          <w:trHeight w:val="548"/>
        </w:trPr>
        <w:tc>
          <w:tcPr>
            <w:tcW w:w="4068" w:type="dxa"/>
            <w:gridSpan w:val="2"/>
            <w:tcBorders>
              <w:bottom w:val="single" w:sz="4" w:space="0" w:color="auto"/>
            </w:tcBorders>
            <w:shd w:val="clear" w:color="auto" w:fill="FFFF66"/>
          </w:tcPr>
          <w:p w14:paraId="13D2A0CD" w14:textId="77777777" w:rsidR="002320EE" w:rsidRPr="00C073EE" w:rsidRDefault="002320EE" w:rsidP="00D77DF4">
            <w:pPr>
              <w:rPr>
                <w:rFonts w:ascii="Arial" w:hAnsi="Arial" w:cs="Arial"/>
                <w:sz w:val="22"/>
                <w:szCs w:val="22"/>
              </w:rPr>
            </w:pPr>
            <w:r w:rsidRPr="00C073EE">
              <w:rPr>
                <w:rFonts w:ascii="Arial" w:hAnsi="Arial" w:cs="Arial"/>
                <w:sz w:val="22"/>
                <w:szCs w:val="22"/>
              </w:rPr>
              <w:t>Name:</w:t>
            </w:r>
          </w:p>
          <w:p w14:paraId="13D2A0CE" w14:textId="77777777" w:rsidR="002320EE" w:rsidRPr="00C073EE" w:rsidRDefault="002320EE" w:rsidP="00D77DF4">
            <w:pPr>
              <w:rPr>
                <w:rFonts w:ascii="Arial" w:hAnsi="Arial" w:cs="Arial"/>
                <w:sz w:val="22"/>
                <w:szCs w:val="22"/>
              </w:rPr>
            </w:pPr>
          </w:p>
        </w:tc>
        <w:tc>
          <w:tcPr>
            <w:tcW w:w="5508" w:type="dxa"/>
            <w:gridSpan w:val="3"/>
            <w:tcBorders>
              <w:bottom w:val="single" w:sz="4" w:space="0" w:color="auto"/>
            </w:tcBorders>
            <w:shd w:val="clear" w:color="auto" w:fill="FFFF66"/>
          </w:tcPr>
          <w:p w14:paraId="13D2A0CF" w14:textId="77777777" w:rsidR="002320EE" w:rsidRPr="00C073EE" w:rsidRDefault="002320EE" w:rsidP="00D77DF4">
            <w:pPr>
              <w:rPr>
                <w:rFonts w:ascii="Arial" w:hAnsi="Arial" w:cs="Arial"/>
                <w:sz w:val="22"/>
                <w:szCs w:val="22"/>
              </w:rPr>
            </w:pPr>
            <w:r w:rsidRPr="00C073EE">
              <w:rPr>
                <w:rFonts w:ascii="Arial" w:hAnsi="Arial" w:cs="Arial"/>
                <w:sz w:val="22"/>
                <w:szCs w:val="22"/>
              </w:rPr>
              <w:t>Title:</w:t>
            </w:r>
          </w:p>
        </w:tc>
      </w:tr>
      <w:tr w:rsidR="002320EE" w:rsidRPr="00C073EE" w14:paraId="13D2A0D8" w14:textId="77777777" w:rsidTr="00D77DF4">
        <w:trPr>
          <w:trHeight w:val="548"/>
        </w:trPr>
        <w:tc>
          <w:tcPr>
            <w:tcW w:w="2394" w:type="dxa"/>
            <w:shd w:val="clear" w:color="auto" w:fill="FFFF99"/>
          </w:tcPr>
          <w:p w14:paraId="13D2A0D1" w14:textId="77777777" w:rsidR="002320EE" w:rsidRPr="00C073EE" w:rsidRDefault="002320EE" w:rsidP="00D77DF4">
            <w:pPr>
              <w:rPr>
                <w:rFonts w:ascii="Arial" w:hAnsi="Arial" w:cs="Arial"/>
                <w:sz w:val="22"/>
                <w:szCs w:val="22"/>
              </w:rPr>
            </w:pPr>
            <w:r w:rsidRPr="00C073EE">
              <w:rPr>
                <w:rFonts w:ascii="Arial" w:hAnsi="Arial" w:cs="Arial"/>
                <w:sz w:val="22"/>
                <w:szCs w:val="22"/>
              </w:rPr>
              <w:t>Mobile Phone:</w:t>
            </w:r>
          </w:p>
        </w:tc>
        <w:tc>
          <w:tcPr>
            <w:tcW w:w="2484" w:type="dxa"/>
            <w:gridSpan w:val="2"/>
            <w:shd w:val="clear" w:color="auto" w:fill="FFFF99"/>
          </w:tcPr>
          <w:p w14:paraId="13D2A0D2" w14:textId="77777777" w:rsidR="002320EE" w:rsidRPr="00C073EE" w:rsidRDefault="002320EE" w:rsidP="00D77DF4">
            <w:pPr>
              <w:rPr>
                <w:rFonts w:ascii="Arial" w:hAnsi="Arial" w:cs="Arial"/>
                <w:sz w:val="22"/>
                <w:szCs w:val="22"/>
              </w:rPr>
            </w:pPr>
            <w:r w:rsidRPr="00C073EE">
              <w:rPr>
                <w:rFonts w:ascii="Arial" w:hAnsi="Arial" w:cs="Arial"/>
                <w:sz w:val="22"/>
                <w:szCs w:val="22"/>
              </w:rPr>
              <w:t>Home Phone:</w:t>
            </w:r>
          </w:p>
        </w:tc>
        <w:tc>
          <w:tcPr>
            <w:tcW w:w="2304" w:type="dxa"/>
            <w:shd w:val="clear" w:color="auto" w:fill="FFFF99"/>
          </w:tcPr>
          <w:p w14:paraId="13D2A0D3" w14:textId="77777777" w:rsidR="002320EE" w:rsidRPr="00C073EE" w:rsidRDefault="002320EE" w:rsidP="00D77DF4">
            <w:pPr>
              <w:rPr>
                <w:rFonts w:ascii="Arial" w:hAnsi="Arial" w:cs="Arial"/>
                <w:sz w:val="22"/>
                <w:szCs w:val="22"/>
              </w:rPr>
            </w:pPr>
            <w:r w:rsidRPr="00C073EE">
              <w:rPr>
                <w:rFonts w:ascii="Arial" w:hAnsi="Arial" w:cs="Arial"/>
                <w:sz w:val="22"/>
                <w:szCs w:val="22"/>
              </w:rPr>
              <w:t>Office Phone:</w:t>
            </w:r>
          </w:p>
        </w:tc>
        <w:tc>
          <w:tcPr>
            <w:tcW w:w="2394" w:type="dxa"/>
            <w:shd w:val="clear" w:color="auto" w:fill="FFFF99"/>
          </w:tcPr>
          <w:p w14:paraId="13D2A0D4" w14:textId="77777777" w:rsidR="002320EE" w:rsidRPr="00C073EE" w:rsidRDefault="002320EE" w:rsidP="00D77DF4">
            <w:pPr>
              <w:rPr>
                <w:rFonts w:ascii="Arial" w:hAnsi="Arial" w:cs="Arial"/>
                <w:sz w:val="22"/>
                <w:szCs w:val="22"/>
              </w:rPr>
            </w:pPr>
            <w:r w:rsidRPr="00C073EE">
              <w:rPr>
                <w:rFonts w:ascii="Arial" w:hAnsi="Arial" w:cs="Arial"/>
                <w:sz w:val="22"/>
                <w:szCs w:val="22"/>
              </w:rPr>
              <w:t>Email:</w:t>
            </w:r>
          </w:p>
          <w:p w14:paraId="13D2A0D5" w14:textId="77777777" w:rsidR="002320EE" w:rsidRPr="00C073EE" w:rsidRDefault="002320EE" w:rsidP="00D77DF4">
            <w:pPr>
              <w:rPr>
                <w:rFonts w:ascii="Arial" w:hAnsi="Arial" w:cs="Arial"/>
                <w:sz w:val="22"/>
                <w:szCs w:val="22"/>
              </w:rPr>
            </w:pPr>
          </w:p>
          <w:p w14:paraId="13D2A0D6" w14:textId="77777777" w:rsidR="002320EE" w:rsidRPr="00C073EE" w:rsidRDefault="002320EE" w:rsidP="00D77DF4">
            <w:pPr>
              <w:rPr>
                <w:rFonts w:ascii="Arial" w:hAnsi="Arial" w:cs="Arial"/>
                <w:sz w:val="22"/>
                <w:szCs w:val="22"/>
              </w:rPr>
            </w:pPr>
          </w:p>
          <w:p w14:paraId="13D2A0D7" w14:textId="77777777" w:rsidR="002320EE" w:rsidRPr="00C073EE" w:rsidRDefault="002320EE" w:rsidP="00D77DF4">
            <w:pPr>
              <w:rPr>
                <w:rFonts w:ascii="Arial" w:hAnsi="Arial" w:cs="Arial"/>
                <w:sz w:val="22"/>
                <w:szCs w:val="22"/>
              </w:rPr>
            </w:pPr>
          </w:p>
        </w:tc>
      </w:tr>
    </w:tbl>
    <w:p w14:paraId="13D2A0D9" w14:textId="77777777" w:rsidR="002320EE" w:rsidRPr="00C073EE" w:rsidRDefault="002320EE" w:rsidP="002320EE">
      <w:pPr>
        <w:rPr>
          <w:rFonts w:ascii="Arial" w:hAnsi="Arial" w:cs="Arial"/>
          <w:sz w:val="22"/>
          <w:szCs w:val="22"/>
        </w:rPr>
      </w:pPr>
    </w:p>
    <w:p w14:paraId="13D2A0DA" w14:textId="77777777" w:rsidR="002320EE" w:rsidRPr="0046503C" w:rsidRDefault="002320EE" w:rsidP="002320EE">
      <w:pPr>
        <w:keepNext/>
        <w:keepLines/>
        <w:jc w:val="both"/>
        <w:rPr>
          <w:rFonts w:ascii="Arial" w:hAnsi="Arial" w:cs="Arial"/>
          <w:caps/>
          <w:sz w:val="22"/>
          <w:szCs w:val="22"/>
        </w:rPr>
      </w:pPr>
      <w:r w:rsidRPr="0046503C">
        <w:rPr>
          <w:rFonts w:ascii="Arial" w:hAnsi="Arial" w:cs="Arial"/>
          <w:sz w:val="22"/>
          <w:szCs w:val="22"/>
        </w:rPr>
        <w:tab/>
      </w:r>
      <w:r w:rsidRPr="0046503C">
        <w:rPr>
          <w:rFonts w:ascii="Arial" w:hAnsi="Arial" w:cs="Arial"/>
          <w:sz w:val="22"/>
          <w:szCs w:val="22"/>
        </w:rPr>
        <w:tab/>
      </w:r>
      <w:r>
        <w:rPr>
          <w:rFonts w:ascii="Arial" w:hAnsi="Arial" w:cs="Arial"/>
          <w:sz w:val="22"/>
          <w:szCs w:val="22"/>
        </w:rPr>
        <w:t>2</w:t>
      </w:r>
      <w:r w:rsidRPr="0046503C">
        <w:rPr>
          <w:rFonts w:ascii="Arial" w:hAnsi="Arial" w:cs="Arial"/>
          <w:sz w:val="22"/>
          <w:szCs w:val="22"/>
        </w:rPr>
        <w:t>.</w:t>
      </w:r>
      <w:r w:rsidRPr="0046503C">
        <w:rPr>
          <w:rFonts w:ascii="Arial" w:hAnsi="Arial" w:cs="Arial"/>
          <w:sz w:val="22"/>
          <w:szCs w:val="22"/>
        </w:rPr>
        <w:tab/>
        <w:t>External Legal Counsel</w:t>
      </w:r>
    </w:p>
    <w:p w14:paraId="13D2A0DB" w14:textId="77777777" w:rsidR="002320EE" w:rsidRPr="0046503C" w:rsidRDefault="002320EE" w:rsidP="002320EE">
      <w:pPr>
        <w:rPr>
          <w:rFonts w:ascii="Arial" w:hAnsi="Arial" w:cs="Arial"/>
          <w:b/>
          <w:i/>
        </w:rPr>
      </w:pPr>
    </w:p>
    <w:tbl>
      <w:tblPr>
        <w:tblStyle w:val="TableGrid"/>
        <w:tblW w:w="0" w:type="auto"/>
        <w:shd w:val="clear" w:color="auto" w:fill="95B3D7" w:themeFill="accent1" w:themeFillTint="99"/>
        <w:tblLook w:val="04A0" w:firstRow="1" w:lastRow="0" w:firstColumn="1" w:lastColumn="0" w:noHBand="0" w:noVBand="1"/>
      </w:tblPr>
      <w:tblGrid>
        <w:gridCol w:w="2340"/>
        <w:gridCol w:w="1203"/>
        <w:gridCol w:w="1226"/>
        <w:gridCol w:w="2249"/>
        <w:gridCol w:w="2332"/>
      </w:tblGrid>
      <w:tr w:rsidR="002320EE" w:rsidRPr="0046503C" w14:paraId="13D2A0DE" w14:textId="77777777" w:rsidTr="00D77DF4">
        <w:tc>
          <w:tcPr>
            <w:tcW w:w="3618" w:type="dxa"/>
            <w:gridSpan w:val="2"/>
            <w:tcBorders>
              <w:bottom w:val="single" w:sz="4" w:space="0" w:color="auto"/>
            </w:tcBorders>
            <w:shd w:val="clear" w:color="auto" w:fill="D99594" w:themeFill="accent2" w:themeFillTint="99"/>
          </w:tcPr>
          <w:p w14:paraId="13D2A0DC" w14:textId="77777777" w:rsidR="002320EE" w:rsidRPr="0046503C" w:rsidRDefault="00CD2017" w:rsidP="00CD2017">
            <w:pPr>
              <w:rPr>
                <w:rFonts w:ascii="Arial" w:hAnsi="Arial" w:cs="Arial"/>
                <w:i/>
                <w:color w:val="FFFFFF" w:themeColor="background1"/>
                <w:sz w:val="22"/>
                <w:szCs w:val="22"/>
              </w:rPr>
            </w:pPr>
            <w:r>
              <w:rPr>
                <w:rFonts w:ascii="Arial" w:hAnsi="Arial" w:cs="Arial"/>
                <w:i/>
                <w:color w:val="FFFFFF" w:themeColor="background1"/>
                <w:sz w:val="22"/>
                <w:szCs w:val="22"/>
              </w:rPr>
              <w:t>External Legal Counsel</w:t>
            </w:r>
          </w:p>
        </w:tc>
        <w:tc>
          <w:tcPr>
            <w:tcW w:w="5958" w:type="dxa"/>
            <w:gridSpan w:val="3"/>
            <w:tcBorders>
              <w:bottom w:val="single" w:sz="4" w:space="0" w:color="auto"/>
            </w:tcBorders>
            <w:shd w:val="clear" w:color="auto" w:fill="auto"/>
          </w:tcPr>
          <w:p w14:paraId="13D2A0DD" w14:textId="77777777" w:rsidR="002320EE" w:rsidRPr="0046503C" w:rsidRDefault="00A64C9D" w:rsidP="00D77DF4">
            <w:pPr>
              <w:rPr>
                <w:rFonts w:ascii="Arial" w:hAnsi="Arial" w:cs="Arial"/>
                <w:color w:val="FFFFFF" w:themeColor="background1"/>
                <w:sz w:val="22"/>
                <w:szCs w:val="22"/>
              </w:rPr>
            </w:pPr>
            <w:r>
              <w:rPr>
                <w:rFonts w:ascii="Arial" w:hAnsi="Arial" w:cs="Arial"/>
                <w:color w:val="000000" w:themeColor="text1"/>
                <w:sz w:val="22"/>
                <w:szCs w:val="22"/>
              </w:rPr>
              <w:t>Organization</w:t>
            </w:r>
            <w:r w:rsidR="002320EE" w:rsidRPr="0046503C">
              <w:rPr>
                <w:rFonts w:ascii="Arial" w:hAnsi="Arial" w:cs="Arial"/>
                <w:color w:val="000000" w:themeColor="text1"/>
                <w:sz w:val="22"/>
                <w:szCs w:val="22"/>
              </w:rPr>
              <w:t>:</w:t>
            </w:r>
          </w:p>
        </w:tc>
      </w:tr>
      <w:tr w:rsidR="002320EE" w:rsidRPr="0046503C" w14:paraId="13D2A0E2" w14:textId="77777777" w:rsidTr="00D77DF4">
        <w:trPr>
          <w:trHeight w:val="548"/>
        </w:trPr>
        <w:tc>
          <w:tcPr>
            <w:tcW w:w="3618" w:type="dxa"/>
            <w:gridSpan w:val="2"/>
            <w:tcBorders>
              <w:bottom w:val="single" w:sz="4" w:space="0" w:color="auto"/>
            </w:tcBorders>
            <w:shd w:val="clear" w:color="auto" w:fill="E5B8B7" w:themeFill="accent2" w:themeFillTint="66"/>
          </w:tcPr>
          <w:p w14:paraId="13D2A0DF" w14:textId="77777777" w:rsidR="002320EE" w:rsidRPr="0046503C" w:rsidRDefault="002320EE" w:rsidP="00D77DF4">
            <w:pPr>
              <w:rPr>
                <w:rFonts w:ascii="Arial" w:hAnsi="Arial" w:cs="Arial"/>
                <w:sz w:val="22"/>
                <w:szCs w:val="22"/>
              </w:rPr>
            </w:pPr>
            <w:r w:rsidRPr="0046503C">
              <w:rPr>
                <w:rFonts w:ascii="Arial" w:hAnsi="Arial" w:cs="Arial"/>
                <w:sz w:val="22"/>
                <w:szCs w:val="22"/>
              </w:rPr>
              <w:lastRenderedPageBreak/>
              <w:t>Name:</w:t>
            </w:r>
          </w:p>
          <w:p w14:paraId="13D2A0E0" w14:textId="77777777" w:rsidR="002320EE" w:rsidRPr="0046503C" w:rsidRDefault="002320EE" w:rsidP="00D77DF4">
            <w:pPr>
              <w:rPr>
                <w:rFonts w:ascii="Arial" w:hAnsi="Arial" w:cs="Arial"/>
                <w:sz w:val="22"/>
                <w:szCs w:val="22"/>
              </w:rPr>
            </w:pPr>
          </w:p>
        </w:tc>
        <w:tc>
          <w:tcPr>
            <w:tcW w:w="5958" w:type="dxa"/>
            <w:gridSpan w:val="3"/>
            <w:tcBorders>
              <w:bottom w:val="single" w:sz="4" w:space="0" w:color="auto"/>
            </w:tcBorders>
            <w:shd w:val="clear" w:color="auto" w:fill="E5B8B7" w:themeFill="accent2" w:themeFillTint="66"/>
          </w:tcPr>
          <w:p w14:paraId="13D2A0E1" w14:textId="77777777" w:rsidR="002320EE" w:rsidRPr="0046503C" w:rsidRDefault="002320EE" w:rsidP="00D77DF4">
            <w:pPr>
              <w:rPr>
                <w:rFonts w:ascii="Arial" w:hAnsi="Arial" w:cs="Arial"/>
                <w:sz w:val="22"/>
                <w:szCs w:val="22"/>
              </w:rPr>
            </w:pPr>
            <w:r w:rsidRPr="0046503C">
              <w:rPr>
                <w:rFonts w:ascii="Arial" w:hAnsi="Arial" w:cs="Arial"/>
                <w:sz w:val="22"/>
                <w:szCs w:val="22"/>
              </w:rPr>
              <w:t>Title:</w:t>
            </w:r>
          </w:p>
        </w:tc>
      </w:tr>
      <w:tr w:rsidR="002320EE" w:rsidRPr="0046503C" w14:paraId="13D2A0EA" w14:textId="77777777" w:rsidTr="00D77DF4">
        <w:trPr>
          <w:trHeight w:val="548"/>
        </w:trPr>
        <w:tc>
          <w:tcPr>
            <w:tcW w:w="2394" w:type="dxa"/>
            <w:shd w:val="clear" w:color="auto" w:fill="F2DBDB" w:themeFill="accent2" w:themeFillTint="33"/>
          </w:tcPr>
          <w:p w14:paraId="13D2A0E3" w14:textId="77777777" w:rsidR="002320EE" w:rsidRPr="0046503C" w:rsidRDefault="002320EE" w:rsidP="00D77DF4">
            <w:pPr>
              <w:rPr>
                <w:rFonts w:ascii="Arial" w:hAnsi="Arial" w:cs="Arial"/>
                <w:sz w:val="22"/>
                <w:szCs w:val="22"/>
              </w:rPr>
            </w:pPr>
            <w:r w:rsidRPr="0046503C">
              <w:rPr>
                <w:rFonts w:ascii="Arial" w:hAnsi="Arial" w:cs="Arial"/>
                <w:sz w:val="22"/>
                <w:szCs w:val="22"/>
              </w:rPr>
              <w:t>Work Mobile Phone:</w:t>
            </w:r>
          </w:p>
        </w:tc>
        <w:tc>
          <w:tcPr>
            <w:tcW w:w="2484" w:type="dxa"/>
            <w:gridSpan w:val="2"/>
            <w:shd w:val="clear" w:color="auto" w:fill="F2DBDB" w:themeFill="accent2" w:themeFillTint="33"/>
          </w:tcPr>
          <w:p w14:paraId="13D2A0E4" w14:textId="77777777" w:rsidR="002320EE" w:rsidRPr="0046503C" w:rsidRDefault="002320EE" w:rsidP="00D77DF4">
            <w:pPr>
              <w:rPr>
                <w:rFonts w:ascii="Arial" w:hAnsi="Arial" w:cs="Arial"/>
                <w:sz w:val="22"/>
                <w:szCs w:val="22"/>
              </w:rPr>
            </w:pPr>
            <w:r w:rsidRPr="0046503C">
              <w:rPr>
                <w:rFonts w:ascii="Arial" w:hAnsi="Arial" w:cs="Arial"/>
                <w:sz w:val="22"/>
                <w:szCs w:val="22"/>
              </w:rPr>
              <w:t>Personal Mobile Phone:</w:t>
            </w:r>
          </w:p>
        </w:tc>
        <w:tc>
          <w:tcPr>
            <w:tcW w:w="2304" w:type="dxa"/>
            <w:shd w:val="clear" w:color="auto" w:fill="F2DBDB" w:themeFill="accent2" w:themeFillTint="33"/>
          </w:tcPr>
          <w:p w14:paraId="13D2A0E5" w14:textId="77777777" w:rsidR="002320EE" w:rsidRPr="0046503C" w:rsidRDefault="002320EE" w:rsidP="00D77DF4">
            <w:pPr>
              <w:rPr>
                <w:rFonts w:ascii="Arial" w:hAnsi="Arial" w:cs="Arial"/>
                <w:sz w:val="22"/>
                <w:szCs w:val="22"/>
              </w:rPr>
            </w:pPr>
            <w:r w:rsidRPr="0046503C">
              <w:rPr>
                <w:rFonts w:ascii="Arial" w:hAnsi="Arial" w:cs="Arial"/>
                <w:sz w:val="22"/>
                <w:szCs w:val="22"/>
              </w:rPr>
              <w:t>Office Phone:</w:t>
            </w:r>
          </w:p>
        </w:tc>
        <w:tc>
          <w:tcPr>
            <w:tcW w:w="2394" w:type="dxa"/>
            <w:shd w:val="clear" w:color="auto" w:fill="F2DBDB" w:themeFill="accent2" w:themeFillTint="33"/>
          </w:tcPr>
          <w:p w14:paraId="13D2A0E6" w14:textId="77777777" w:rsidR="002320EE" w:rsidRPr="0046503C" w:rsidRDefault="002320EE" w:rsidP="00D77DF4">
            <w:pPr>
              <w:rPr>
                <w:rFonts w:ascii="Arial" w:hAnsi="Arial" w:cs="Arial"/>
                <w:sz w:val="22"/>
                <w:szCs w:val="22"/>
              </w:rPr>
            </w:pPr>
            <w:r w:rsidRPr="0046503C">
              <w:rPr>
                <w:rFonts w:ascii="Arial" w:hAnsi="Arial" w:cs="Arial"/>
                <w:sz w:val="22"/>
                <w:szCs w:val="22"/>
              </w:rPr>
              <w:t>Email:</w:t>
            </w:r>
          </w:p>
          <w:p w14:paraId="13D2A0E7" w14:textId="77777777" w:rsidR="002320EE" w:rsidRPr="0046503C" w:rsidRDefault="002320EE" w:rsidP="00D77DF4">
            <w:pPr>
              <w:rPr>
                <w:rFonts w:ascii="Arial" w:hAnsi="Arial" w:cs="Arial"/>
                <w:sz w:val="22"/>
                <w:szCs w:val="22"/>
              </w:rPr>
            </w:pPr>
          </w:p>
          <w:p w14:paraId="13D2A0E8" w14:textId="77777777" w:rsidR="002320EE" w:rsidRPr="0046503C" w:rsidRDefault="002320EE" w:rsidP="00D77DF4">
            <w:pPr>
              <w:rPr>
                <w:rFonts w:ascii="Arial" w:hAnsi="Arial" w:cs="Arial"/>
                <w:sz w:val="22"/>
                <w:szCs w:val="22"/>
              </w:rPr>
            </w:pPr>
          </w:p>
          <w:p w14:paraId="13D2A0E9" w14:textId="77777777" w:rsidR="002320EE" w:rsidRPr="0046503C" w:rsidRDefault="002320EE" w:rsidP="00D77DF4">
            <w:pPr>
              <w:rPr>
                <w:rFonts w:ascii="Arial" w:hAnsi="Arial" w:cs="Arial"/>
                <w:sz w:val="22"/>
                <w:szCs w:val="22"/>
              </w:rPr>
            </w:pPr>
          </w:p>
        </w:tc>
      </w:tr>
    </w:tbl>
    <w:p w14:paraId="13D2A0EB" w14:textId="77777777" w:rsidR="002320EE" w:rsidRPr="0046503C" w:rsidRDefault="002320EE" w:rsidP="002320EE">
      <w:pPr>
        <w:rPr>
          <w:rFonts w:ascii="Arial" w:hAnsi="Arial" w:cs="Arial"/>
          <w:sz w:val="22"/>
          <w:szCs w:val="22"/>
        </w:rPr>
      </w:pPr>
    </w:p>
    <w:p w14:paraId="13D2A0EC" w14:textId="77777777" w:rsidR="002320EE" w:rsidRPr="0046503C" w:rsidRDefault="002320EE" w:rsidP="001809CF">
      <w:pPr>
        <w:rPr>
          <w:rFonts w:ascii="Arial" w:hAnsi="Arial" w:cs="Arial"/>
        </w:rPr>
      </w:pPr>
    </w:p>
    <w:p w14:paraId="13D2A0ED" w14:textId="77777777" w:rsidR="001809CF" w:rsidRPr="0046503C" w:rsidRDefault="001809CF" w:rsidP="001809CF">
      <w:pPr>
        <w:keepNext/>
        <w:keepLines/>
        <w:jc w:val="both"/>
        <w:rPr>
          <w:rFonts w:ascii="Arial" w:hAnsi="Arial" w:cs="Arial"/>
          <w:sz w:val="22"/>
          <w:szCs w:val="22"/>
        </w:rPr>
      </w:pPr>
      <w:r w:rsidRPr="0046503C">
        <w:rPr>
          <w:rFonts w:ascii="Arial" w:hAnsi="Arial" w:cs="Arial"/>
          <w:sz w:val="22"/>
          <w:szCs w:val="22"/>
        </w:rPr>
        <w:tab/>
      </w:r>
      <w:r w:rsidRPr="0046503C">
        <w:rPr>
          <w:rFonts w:ascii="Arial" w:hAnsi="Arial" w:cs="Arial"/>
          <w:sz w:val="22"/>
          <w:szCs w:val="22"/>
        </w:rPr>
        <w:tab/>
      </w:r>
      <w:r w:rsidR="002320EE">
        <w:rPr>
          <w:rFonts w:ascii="Arial" w:hAnsi="Arial" w:cs="Arial"/>
          <w:sz w:val="22"/>
          <w:szCs w:val="22"/>
        </w:rPr>
        <w:t>3</w:t>
      </w:r>
      <w:r w:rsidRPr="0046503C">
        <w:rPr>
          <w:rFonts w:ascii="Arial" w:hAnsi="Arial" w:cs="Arial"/>
          <w:sz w:val="22"/>
          <w:szCs w:val="22"/>
        </w:rPr>
        <w:t>.</w:t>
      </w:r>
      <w:r w:rsidRPr="0046503C">
        <w:rPr>
          <w:rFonts w:ascii="Arial" w:hAnsi="Arial" w:cs="Arial"/>
          <w:sz w:val="22"/>
          <w:szCs w:val="22"/>
        </w:rPr>
        <w:tab/>
        <w:t>Forensic Firm</w:t>
      </w:r>
    </w:p>
    <w:p w14:paraId="13D2A0EE" w14:textId="77777777" w:rsidR="001809CF" w:rsidRPr="0046503C" w:rsidRDefault="001809CF" w:rsidP="001809CF">
      <w:pPr>
        <w:keepNext/>
        <w:keepLines/>
        <w:jc w:val="both"/>
        <w:rPr>
          <w:rFonts w:ascii="Arial" w:hAnsi="Arial" w:cs="Arial"/>
          <w:sz w:val="22"/>
          <w:szCs w:val="22"/>
        </w:rPr>
      </w:pPr>
    </w:p>
    <w:tbl>
      <w:tblPr>
        <w:tblStyle w:val="TableGrid"/>
        <w:tblW w:w="0" w:type="auto"/>
        <w:shd w:val="clear" w:color="auto" w:fill="95B3D7" w:themeFill="accent1" w:themeFillTint="99"/>
        <w:tblLook w:val="04A0" w:firstRow="1" w:lastRow="0" w:firstColumn="1" w:lastColumn="0" w:noHBand="0" w:noVBand="1"/>
      </w:tblPr>
      <w:tblGrid>
        <w:gridCol w:w="2343"/>
        <w:gridCol w:w="1203"/>
        <w:gridCol w:w="1225"/>
        <w:gridCol w:w="2248"/>
        <w:gridCol w:w="2331"/>
      </w:tblGrid>
      <w:tr w:rsidR="001809CF" w:rsidRPr="0046503C" w14:paraId="13D2A0F1" w14:textId="77777777" w:rsidTr="001809CF">
        <w:tc>
          <w:tcPr>
            <w:tcW w:w="3618" w:type="dxa"/>
            <w:gridSpan w:val="2"/>
            <w:tcBorders>
              <w:bottom w:val="single" w:sz="4" w:space="0" w:color="auto"/>
            </w:tcBorders>
            <w:shd w:val="clear" w:color="auto" w:fill="948A54" w:themeFill="background2" w:themeFillShade="80"/>
          </w:tcPr>
          <w:p w14:paraId="13D2A0EF" w14:textId="77777777" w:rsidR="001809CF" w:rsidRPr="0046503C" w:rsidRDefault="00CD2017" w:rsidP="00CD2017">
            <w:pPr>
              <w:rPr>
                <w:rFonts w:ascii="Arial" w:hAnsi="Arial" w:cs="Arial"/>
                <w:i/>
                <w:color w:val="FFFFFF" w:themeColor="background1"/>
                <w:sz w:val="22"/>
                <w:szCs w:val="22"/>
              </w:rPr>
            </w:pPr>
            <w:r>
              <w:rPr>
                <w:rFonts w:ascii="Arial" w:hAnsi="Arial" w:cs="Arial"/>
                <w:i/>
                <w:color w:val="FFFFFF" w:themeColor="background1"/>
                <w:sz w:val="22"/>
                <w:szCs w:val="22"/>
              </w:rPr>
              <w:t>Forensics Firm</w:t>
            </w:r>
          </w:p>
        </w:tc>
        <w:tc>
          <w:tcPr>
            <w:tcW w:w="5958" w:type="dxa"/>
            <w:gridSpan w:val="3"/>
            <w:tcBorders>
              <w:bottom w:val="single" w:sz="4" w:space="0" w:color="auto"/>
            </w:tcBorders>
            <w:shd w:val="clear" w:color="auto" w:fill="auto"/>
          </w:tcPr>
          <w:p w14:paraId="13D2A0F0" w14:textId="77777777" w:rsidR="001809CF" w:rsidRPr="0046503C" w:rsidRDefault="00A64C9D" w:rsidP="001809CF">
            <w:pPr>
              <w:rPr>
                <w:rFonts w:ascii="Arial" w:hAnsi="Arial" w:cs="Arial"/>
                <w:color w:val="FFFFFF" w:themeColor="background1"/>
                <w:sz w:val="22"/>
                <w:szCs w:val="22"/>
              </w:rPr>
            </w:pPr>
            <w:r>
              <w:rPr>
                <w:rFonts w:ascii="Arial" w:hAnsi="Arial" w:cs="Arial"/>
                <w:color w:val="000000" w:themeColor="text1"/>
                <w:sz w:val="22"/>
                <w:szCs w:val="22"/>
              </w:rPr>
              <w:t>Organization</w:t>
            </w:r>
            <w:r w:rsidR="001809CF" w:rsidRPr="0046503C">
              <w:rPr>
                <w:rFonts w:ascii="Arial" w:hAnsi="Arial" w:cs="Arial"/>
                <w:color w:val="000000" w:themeColor="text1"/>
                <w:sz w:val="22"/>
                <w:szCs w:val="22"/>
              </w:rPr>
              <w:t>:</w:t>
            </w:r>
          </w:p>
        </w:tc>
      </w:tr>
      <w:tr w:rsidR="001809CF" w:rsidRPr="0046503C" w14:paraId="13D2A0F5" w14:textId="77777777" w:rsidTr="001809CF">
        <w:trPr>
          <w:trHeight w:val="548"/>
        </w:trPr>
        <w:tc>
          <w:tcPr>
            <w:tcW w:w="3618" w:type="dxa"/>
            <w:gridSpan w:val="2"/>
            <w:tcBorders>
              <w:bottom w:val="single" w:sz="4" w:space="0" w:color="auto"/>
            </w:tcBorders>
            <w:shd w:val="clear" w:color="auto" w:fill="C4BC96" w:themeFill="background2" w:themeFillShade="BF"/>
          </w:tcPr>
          <w:p w14:paraId="13D2A0F2" w14:textId="77777777" w:rsidR="001809CF" w:rsidRPr="0046503C" w:rsidRDefault="001809CF" w:rsidP="001809CF">
            <w:pPr>
              <w:rPr>
                <w:rFonts w:ascii="Arial" w:hAnsi="Arial" w:cs="Arial"/>
                <w:sz w:val="22"/>
                <w:szCs w:val="22"/>
              </w:rPr>
            </w:pPr>
            <w:r w:rsidRPr="0046503C">
              <w:rPr>
                <w:rFonts w:ascii="Arial" w:hAnsi="Arial" w:cs="Arial"/>
                <w:sz w:val="22"/>
                <w:szCs w:val="22"/>
              </w:rPr>
              <w:t>Name:</w:t>
            </w:r>
          </w:p>
          <w:p w14:paraId="13D2A0F3" w14:textId="77777777" w:rsidR="001809CF" w:rsidRPr="0046503C" w:rsidRDefault="001809CF" w:rsidP="001809CF">
            <w:pPr>
              <w:rPr>
                <w:rFonts w:ascii="Arial" w:hAnsi="Arial" w:cs="Arial"/>
                <w:sz w:val="22"/>
                <w:szCs w:val="22"/>
              </w:rPr>
            </w:pPr>
          </w:p>
        </w:tc>
        <w:tc>
          <w:tcPr>
            <w:tcW w:w="5958" w:type="dxa"/>
            <w:gridSpan w:val="3"/>
            <w:tcBorders>
              <w:bottom w:val="single" w:sz="4" w:space="0" w:color="auto"/>
            </w:tcBorders>
            <w:shd w:val="clear" w:color="auto" w:fill="C4BC96" w:themeFill="background2" w:themeFillShade="BF"/>
          </w:tcPr>
          <w:p w14:paraId="13D2A0F4" w14:textId="77777777" w:rsidR="001809CF" w:rsidRPr="0046503C" w:rsidRDefault="001809CF" w:rsidP="001809CF">
            <w:pPr>
              <w:rPr>
                <w:rFonts w:ascii="Arial" w:hAnsi="Arial" w:cs="Arial"/>
                <w:sz w:val="22"/>
                <w:szCs w:val="22"/>
              </w:rPr>
            </w:pPr>
            <w:r w:rsidRPr="0046503C">
              <w:rPr>
                <w:rFonts w:ascii="Arial" w:hAnsi="Arial" w:cs="Arial"/>
                <w:sz w:val="22"/>
                <w:szCs w:val="22"/>
              </w:rPr>
              <w:t>Title:</w:t>
            </w:r>
          </w:p>
        </w:tc>
      </w:tr>
      <w:tr w:rsidR="001809CF" w:rsidRPr="0046503C" w14:paraId="13D2A0FD" w14:textId="77777777" w:rsidTr="001809CF">
        <w:trPr>
          <w:trHeight w:val="548"/>
        </w:trPr>
        <w:tc>
          <w:tcPr>
            <w:tcW w:w="2394" w:type="dxa"/>
            <w:shd w:val="clear" w:color="auto" w:fill="DDD9C3" w:themeFill="background2" w:themeFillShade="E6"/>
          </w:tcPr>
          <w:p w14:paraId="13D2A0F6" w14:textId="77777777" w:rsidR="001809CF" w:rsidRPr="0046503C" w:rsidRDefault="001809CF" w:rsidP="001809CF">
            <w:pPr>
              <w:rPr>
                <w:rFonts w:ascii="Arial" w:hAnsi="Arial" w:cs="Arial"/>
                <w:sz w:val="22"/>
                <w:szCs w:val="22"/>
              </w:rPr>
            </w:pPr>
            <w:r w:rsidRPr="0046503C">
              <w:rPr>
                <w:rFonts w:ascii="Arial" w:hAnsi="Arial" w:cs="Arial"/>
                <w:sz w:val="22"/>
                <w:szCs w:val="22"/>
              </w:rPr>
              <w:t>Work Mobile Phone:</w:t>
            </w:r>
          </w:p>
        </w:tc>
        <w:tc>
          <w:tcPr>
            <w:tcW w:w="2484" w:type="dxa"/>
            <w:gridSpan w:val="2"/>
            <w:shd w:val="clear" w:color="auto" w:fill="DDD9C3" w:themeFill="background2" w:themeFillShade="E6"/>
          </w:tcPr>
          <w:p w14:paraId="13D2A0F7" w14:textId="77777777" w:rsidR="001809CF" w:rsidRPr="0046503C" w:rsidRDefault="001809CF" w:rsidP="001809CF">
            <w:pPr>
              <w:rPr>
                <w:rFonts w:ascii="Arial" w:hAnsi="Arial" w:cs="Arial"/>
                <w:sz w:val="22"/>
                <w:szCs w:val="22"/>
              </w:rPr>
            </w:pPr>
            <w:r w:rsidRPr="0046503C">
              <w:rPr>
                <w:rFonts w:ascii="Arial" w:hAnsi="Arial" w:cs="Arial"/>
                <w:sz w:val="22"/>
                <w:szCs w:val="22"/>
              </w:rPr>
              <w:t>Personal Mobile Phone:</w:t>
            </w:r>
          </w:p>
        </w:tc>
        <w:tc>
          <w:tcPr>
            <w:tcW w:w="2304" w:type="dxa"/>
            <w:shd w:val="clear" w:color="auto" w:fill="DDD9C3" w:themeFill="background2" w:themeFillShade="E6"/>
          </w:tcPr>
          <w:p w14:paraId="13D2A0F8" w14:textId="77777777" w:rsidR="001809CF" w:rsidRPr="0046503C" w:rsidRDefault="001809CF" w:rsidP="001809CF">
            <w:pPr>
              <w:rPr>
                <w:rFonts w:ascii="Arial" w:hAnsi="Arial" w:cs="Arial"/>
                <w:sz w:val="22"/>
                <w:szCs w:val="22"/>
              </w:rPr>
            </w:pPr>
            <w:r w:rsidRPr="0046503C">
              <w:rPr>
                <w:rFonts w:ascii="Arial" w:hAnsi="Arial" w:cs="Arial"/>
                <w:sz w:val="22"/>
                <w:szCs w:val="22"/>
              </w:rPr>
              <w:t>Office Phone:</w:t>
            </w:r>
          </w:p>
        </w:tc>
        <w:tc>
          <w:tcPr>
            <w:tcW w:w="2394" w:type="dxa"/>
            <w:shd w:val="clear" w:color="auto" w:fill="DDD9C3" w:themeFill="background2" w:themeFillShade="E6"/>
          </w:tcPr>
          <w:p w14:paraId="13D2A0F9" w14:textId="77777777" w:rsidR="001809CF" w:rsidRPr="0046503C" w:rsidRDefault="001809CF" w:rsidP="001809CF">
            <w:pPr>
              <w:rPr>
                <w:rFonts w:ascii="Arial" w:hAnsi="Arial" w:cs="Arial"/>
                <w:sz w:val="22"/>
                <w:szCs w:val="22"/>
              </w:rPr>
            </w:pPr>
            <w:r w:rsidRPr="0046503C">
              <w:rPr>
                <w:rFonts w:ascii="Arial" w:hAnsi="Arial" w:cs="Arial"/>
                <w:sz w:val="22"/>
                <w:szCs w:val="22"/>
              </w:rPr>
              <w:t>Email:</w:t>
            </w:r>
          </w:p>
          <w:p w14:paraId="13D2A0FA" w14:textId="77777777" w:rsidR="001809CF" w:rsidRPr="0046503C" w:rsidRDefault="001809CF" w:rsidP="001809CF">
            <w:pPr>
              <w:rPr>
                <w:rFonts w:ascii="Arial" w:hAnsi="Arial" w:cs="Arial"/>
                <w:sz w:val="22"/>
                <w:szCs w:val="22"/>
              </w:rPr>
            </w:pPr>
          </w:p>
          <w:p w14:paraId="13D2A0FB" w14:textId="77777777" w:rsidR="001809CF" w:rsidRPr="0046503C" w:rsidRDefault="001809CF" w:rsidP="001809CF">
            <w:pPr>
              <w:rPr>
                <w:rFonts w:ascii="Arial" w:hAnsi="Arial" w:cs="Arial"/>
                <w:sz w:val="22"/>
                <w:szCs w:val="22"/>
              </w:rPr>
            </w:pPr>
          </w:p>
          <w:p w14:paraId="13D2A0FC" w14:textId="77777777" w:rsidR="001809CF" w:rsidRPr="0046503C" w:rsidRDefault="001809CF" w:rsidP="001809CF">
            <w:pPr>
              <w:rPr>
                <w:rFonts w:ascii="Arial" w:hAnsi="Arial" w:cs="Arial"/>
                <w:sz w:val="22"/>
                <w:szCs w:val="22"/>
              </w:rPr>
            </w:pPr>
          </w:p>
        </w:tc>
      </w:tr>
    </w:tbl>
    <w:p w14:paraId="13D2A0FE" w14:textId="77777777" w:rsidR="001809CF" w:rsidRPr="0046503C" w:rsidRDefault="001809CF" w:rsidP="001809CF">
      <w:pPr>
        <w:rPr>
          <w:rFonts w:ascii="Arial" w:hAnsi="Arial" w:cs="Arial"/>
          <w:sz w:val="22"/>
          <w:szCs w:val="22"/>
        </w:rPr>
      </w:pPr>
    </w:p>
    <w:p w14:paraId="13D2A0FF" w14:textId="77777777" w:rsidR="0046503C" w:rsidRPr="0046503C" w:rsidRDefault="002320EE" w:rsidP="0046503C">
      <w:pPr>
        <w:keepNext/>
        <w:keepLines/>
        <w:ind w:left="720" w:firstLine="720"/>
        <w:jc w:val="both"/>
        <w:rPr>
          <w:rFonts w:ascii="Arial" w:hAnsi="Arial" w:cs="Arial"/>
          <w:sz w:val="22"/>
          <w:szCs w:val="22"/>
        </w:rPr>
      </w:pPr>
      <w:r>
        <w:rPr>
          <w:rFonts w:ascii="Arial" w:hAnsi="Arial" w:cs="Arial"/>
          <w:sz w:val="22"/>
          <w:szCs w:val="22"/>
        </w:rPr>
        <w:t>4</w:t>
      </w:r>
      <w:r w:rsidR="0046503C" w:rsidRPr="0046503C">
        <w:rPr>
          <w:rFonts w:ascii="Arial" w:hAnsi="Arial" w:cs="Arial"/>
          <w:sz w:val="22"/>
          <w:szCs w:val="22"/>
        </w:rPr>
        <w:t>.</w:t>
      </w:r>
      <w:r w:rsidR="0046503C" w:rsidRPr="0046503C">
        <w:rPr>
          <w:rFonts w:ascii="Arial" w:hAnsi="Arial" w:cs="Arial"/>
          <w:sz w:val="22"/>
          <w:szCs w:val="22"/>
        </w:rPr>
        <w:tab/>
        <w:t>Public Relations / Crisis Management Firm</w:t>
      </w:r>
    </w:p>
    <w:p w14:paraId="13D2A100" w14:textId="77777777" w:rsidR="0046503C" w:rsidRPr="0046503C" w:rsidRDefault="0046503C" w:rsidP="0046503C">
      <w:pPr>
        <w:keepNext/>
        <w:keepLines/>
        <w:jc w:val="both"/>
        <w:rPr>
          <w:rFonts w:ascii="Arial" w:hAnsi="Arial" w:cs="Arial"/>
          <w:sz w:val="22"/>
          <w:szCs w:val="22"/>
        </w:rPr>
      </w:pPr>
    </w:p>
    <w:tbl>
      <w:tblPr>
        <w:tblStyle w:val="TableGrid"/>
        <w:tblW w:w="0" w:type="auto"/>
        <w:shd w:val="clear" w:color="auto" w:fill="95B3D7" w:themeFill="accent1" w:themeFillTint="99"/>
        <w:tblLook w:val="04A0" w:firstRow="1" w:lastRow="0" w:firstColumn="1" w:lastColumn="0" w:noHBand="0" w:noVBand="1"/>
      </w:tblPr>
      <w:tblGrid>
        <w:gridCol w:w="2352"/>
        <w:gridCol w:w="1203"/>
        <w:gridCol w:w="1222"/>
        <w:gridCol w:w="2245"/>
        <w:gridCol w:w="2328"/>
      </w:tblGrid>
      <w:tr w:rsidR="0046503C" w:rsidRPr="0046503C" w14:paraId="13D2A104" w14:textId="77777777" w:rsidTr="003859EF">
        <w:tc>
          <w:tcPr>
            <w:tcW w:w="3618" w:type="dxa"/>
            <w:gridSpan w:val="2"/>
            <w:tcBorders>
              <w:bottom w:val="single" w:sz="4" w:space="0" w:color="auto"/>
            </w:tcBorders>
            <w:shd w:val="clear" w:color="auto" w:fill="B2A1C7" w:themeFill="accent4" w:themeFillTint="99"/>
          </w:tcPr>
          <w:p w14:paraId="13D2A101" w14:textId="77777777" w:rsidR="0046503C" w:rsidRPr="0046503C" w:rsidRDefault="0046503C" w:rsidP="003859EF">
            <w:pPr>
              <w:rPr>
                <w:rFonts w:ascii="Arial" w:hAnsi="Arial" w:cs="Arial"/>
                <w:i/>
                <w:color w:val="FFFFFF" w:themeColor="background1"/>
                <w:sz w:val="22"/>
                <w:szCs w:val="22"/>
              </w:rPr>
            </w:pPr>
            <w:r w:rsidRPr="0046503C">
              <w:rPr>
                <w:rFonts w:ascii="Arial" w:hAnsi="Arial" w:cs="Arial"/>
                <w:i/>
                <w:color w:val="FFFFFF" w:themeColor="background1"/>
                <w:sz w:val="22"/>
                <w:szCs w:val="22"/>
              </w:rPr>
              <w:t xml:space="preserve">Public Relations / </w:t>
            </w:r>
          </w:p>
          <w:p w14:paraId="13D2A102" w14:textId="77777777" w:rsidR="0046503C" w:rsidRPr="0046503C" w:rsidRDefault="00CD2017" w:rsidP="00CD2017">
            <w:pPr>
              <w:rPr>
                <w:rFonts w:ascii="Arial" w:hAnsi="Arial" w:cs="Arial"/>
                <w:i/>
                <w:color w:val="FFFFFF" w:themeColor="background1"/>
                <w:sz w:val="22"/>
                <w:szCs w:val="22"/>
              </w:rPr>
            </w:pPr>
            <w:r>
              <w:rPr>
                <w:rFonts w:ascii="Arial" w:hAnsi="Arial" w:cs="Arial"/>
                <w:i/>
                <w:color w:val="FFFFFF" w:themeColor="background1"/>
                <w:sz w:val="22"/>
                <w:szCs w:val="22"/>
              </w:rPr>
              <w:t>Crisis Management Firm</w:t>
            </w:r>
          </w:p>
        </w:tc>
        <w:tc>
          <w:tcPr>
            <w:tcW w:w="5958" w:type="dxa"/>
            <w:gridSpan w:val="3"/>
            <w:tcBorders>
              <w:bottom w:val="single" w:sz="4" w:space="0" w:color="auto"/>
            </w:tcBorders>
            <w:shd w:val="clear" w:color="auto" w:fill="auto"/>
          </w:tcPr>
          <w:p w14:paraId="13D2A103" w14:textId="77777777" w:rsidR="0046503C" w:rsidRPr="0046503C" w:rsidRDefault="00A64C9D" w:rsidP="003859EF">
            <w:pPr>
              <w:rPr>
                <w:rFonts w:ascii="Arial" w:hAnsi="Arial" w:cs="Arial"/>
                <w:color w:val="FFFFFF" w:themeColor="background1"/>
                <w:sz w:val="22"/>
                <w:szCs w:val="22"/>
              </w:rPr>
            </w:pPr>
            <w:r>
              <w:rPr>
                <w:rFonts w:ascii="Arial" w:hAnsi="Arial" w:cs="Arial"/>
                <w:color w:val="000000" w:themeColor="text1"/>
                <w:sz w:val="22"/>
                <w:szCs w:val="22"/>
              </w:rPr>
              <w:t>Organization</w:t>
            </w:r>
            <w:r w:rsidR="0046503C" w:rsidRPr="0046503C">
              <w:rPr>
                <w:rFonts w:ascii="Arial" w:hAnsi="Arial" w:cs="Arial"/>
                <w:color w:val="000000" w:themeColor="text1"/>
                <w:sz w:val="22"/>
                <w:szCs w:val="22"/>
              </w:rPr>
              <w:t>:</w:t>
            </w:r>
          </w:p>
        </w:tc>
      </w:tr>
      <w:tr w:rsidR="0046503C" w:rsidRPr="0046503C" w14:paraId="13D2A108" w14:textId="77777777" w:rsidTr="003859EF">
        <w:trPr>
          <w:trHeight w:val="548"/>
        </w:trPr>
        <w:tc>
          <w:tcPr>
            <w:tcW w:w="3618" w:type="dxa"/>
            <w:gridSpan w:val="2"/>
            <w:tcBorders>
              <w:bottom w:val="single" w:sz="4" w:space="0" w:color="auto"/>
            </w:tcBorders>
            <w:shd w:val="clear" w:color="auto" w:fill="CCC0D9" w:themeFill="accent4" w:themeFillTint="66"/>
          </w:tcPr>
          <w:p w14:paraId="13D2A105" w14:textId="77777777" w:rsidR="0046503C" w:rsidRPr="0046503C" w:rsidRDefault="0046503C" w:rsidP="003859EF">
            <w:pPr>
              <w:rPr>
                <w:rFonts w:ascii="Arial" w:hAnsi="Arial" w:cs="Arial"/>
                <w:sz w:val="22"/>
                <w:szCs w:val="22"/>
              </w:rPr>
            </w:pPr>
            <w:r w:rsidRPr="0046503C">
              <w:rPr>
                <w:rFonts w:ascii="Arial" w:hAnsi="Arial" w:cs="Arial"/>
                <w:sz w:val="22"/>
                <w:szCs w:val="22"/>
              </w:rPr>
              <w:t>Name:</w:t>
            </w:r>
          </w:p>
          <w:p w14:paraId="13D2A106" w14:textId="77777777" w:rsidR="0046503C" w:rsidRPr="0046503C" w:rsidRDefault="0046503C" w:rsidP="003859EF">
            <w:pPr>
              <w:rPr>
                <w:rFonts w:ascii="Arial" w:hAnsi="Arial" w:cs="Arial"/>
                <w:sz w:val="22"/>
                <w:szCs w:val="22"/>
              </w:rPr>
            </w:pPr>
          </w:p>
        </w:tc>
        <w:tc>
          <w:tcPr>
            <w:tcW w:w="5958" w:type="dxa"/>
            <w:gridSpan w:val="3"/>
            <w:tcBorders>
              <w:bottom w:val="single" w:sz="4" w:space="0" w:color="auto"/>
            </w:tcBorders>
            <w:shd w:val="clear" w:color="auto" w:fill="CCC0D9" w:themeFill="accent4" w:themeFillTint="66"/>
          </w:tcPr>
          <w:p w14:paraId="13D2A107" w14:textId="77777777" w:rsidR="0046503C" w:rsidRPr="0046503C" w:rsidRDefault="0046503C" w:rsidP="003859EF">
            <w:pPr>
              <w:rPr>
                <w:rFonts w:ascii="Arial" w:hAnsi="Arial" w:cs="Arial"/>
                <w:sz w:val="22"/>
                <w:szCs w:val="22"/>
              </w:rPr>
            </w:pPr>
            <w:r w:rsidRPr="0046503C">
              <w:rPr>
                <w:rFonts w:ascii="Arial" w:hAnsi="Arial" w:cs="Arial"/>
                <w:sz w:val="22"/>
                <w:szCs w:val="22"/>
              </w:rPr>
              <w:t>Title:</w:t>
            </w:r>
          </w:p>
        </w:tc>
      </w:tr>
      <w:tr w:rsidR="0046503C" w:rsidRPr="0046503C" w14:paraId="13D2A110" w14:textId="77777777" w:rsidTr="003859EF">
        <w:trPr>
          <w:trHeight w:val="548"/>
        </w:trPr>
        <w:tc>
          <w:tcPr>
            <w:tcW w:w="2394" w:type="dxa"/>
            <w:shd w:val="clear" w:color="auto" w:fill="E5DFEC" w:themeFill="accent4" w:themeFillTint="33"/>
          </w:tcPr>
          <w:p w14:paraId="13D2A109" w14:textId="77777777" w:rsidR="0046503C" w:rsidRPr="0046503C" w:rsidRDefault="0046503C" w:rsidP="003859EF">
            <w:pPr>
              <w:rPr>
                <w:rFonts w:ascii="Arial" w:hAnsi="Arial" w:cs="Arial"/>
                <w:sz w:val="22"/>
                <w:szCs w:val="22"/>
              </w:rPr>
            </w:pPr>
            <w:r w:rsidRPr="0046503C">
              <w:rPr>
                <w:rFonts w:ascii="Arial" w:hAnsi="Arial" w:cs="Arial"/>
                <w:sz w:val="22"/>
                <w:szCs w:val="22"/>
              </w:rPr>
              <w:t>Work Mobile Phone:</w:t>
            </w:r>
          </w:p>
        </w:tc>
        <w:tc>
          <w:tcPr>
            <w:tcW w:w="2484" w:type="dxa"/>
            <w:gridSpan w:val="2"/>
            <w:shd w:val="clear" w:color="auto" w:fill="E5DFEC" w:themeFill="accent4" w:themeFillTint="33"/>
          </w:tcPr>
          <w:p w14:paraId="13D2A10A" w14:textId="77777777" w:rsidR="0046503C" w:rsidRPr="0046503C" w:rsidRDefault="0046503C" w:rsidP="003859EF">
            <w:pPr>
              <w:rPr>
                <w:rFonts w:ascii="Arial" w:hAnsi="Arial" w:cs="Arial"/>
                <w:sz w:val="22"/>
                <w:szCs w:val="22"/>
              </w:rPr>
            </w:pPr>
            <w:r w:rsidRPr="0046503C">
              <w:rPr>
                <w:rFonts w:ascii="Arial" w:hAnsi="Arial" w:cs="Arial"/>
                <w:sz w:val="22"/>
                <w:szCs w:val="22"/>
              </w:rPr>
              <w:t>Personal Mobile Phone:</w:t>
            </w:r>
          </w:p>
        </w:tc>
        <w:tc>
          <w:tcPr>
            <w:tcW w:w="2304" w:type="dxa"/>
            <w:shd w:val="clear" w:color="auto" w:fill="E5DFEC" w:themeFill="accent4" w:themeFillTint="33"/>
          </w:tcPr>
          <w:p w14:paraId="13D2A10B" w14:textId="77777777" w:rsidR="0046503C" w:rsidRPr="0046503C" w:rsidRDefault="0046503C" w:rsidP="003859EF">
            <w:pPr>
              <w:rPr>
                <w:rFonts w:ascii="Arial" w:hAnsi="Arial" w:cs="Arial"/>
                <w:sz w:val="22"/>
                <w:szCs w:val="22"/>
              </w:rPr>
            </w:pPr>
            <w:r w:rsidRPr="0046503C">
              <w:rPr>
                <w:rFonts w:ascii="Arial" w:hAnsi="Arial" w:cs="Arial"/>
                <w:sz w:val="22"/>
                <w:szCs w:val="22"/>
              </w:rPr>
              <w:t>Office Phone:</w:t>
            </w:r>
          </w:p>
        </w:tc>
        <w:tc>
          <w:tcPr>
            <w:tcW w:w="2394" w:type="dxa"/>
            <w:shd w:val="clear" w:color="auto" w:fill="E5DFEC" w:themeFill="accent4" w:themeFillTint="33"/>
          </w:tcPr>
          <w:p w14:paraId="13D2A10C" w14:textId="77777777" w:rsidR="0046503C" w:rsidRPr="0046503C" w:rsidRDefault="0046503C" w:rsidP="003859EF">
            <w:pPr>
              <w:rPr>
                <w:rFonts w:ascii="Arial" w:hAnsi="Arial" w:cs="Arial"/>
                <w:sz w:val="22"/>
                <w:szCs w:val="22"/>
              </w:rPr>
            </w:pPr>
            <w:r w:rsidRPr="0046503C">
              <w:rPr>
                <w:rFonts w:ascii="Arial" w:hAnsi="Arial" w:cs="Arial"/>
                <w:sz w:val="22"/>
                <w:szCs w:val="22"/>
              </w:rPr>
              <w:t>Email:</w:t>
            </w:r>
          </w:p>
          <w:p w14:paraId="13D2A10D" w14:textId="77777777" w:rsidR="0046503C" w:rsidRPr="0046503C" w:rsidRDefault="0046503C" w:rsidP="003859EF">
            <w:pPr>
              <w:rPr>
                <w:rFonts w:ascii="Arial" w:hAnsi="Arial" w:cs="Arial"/>
                <w:sz w:val="22"/>
                <w:szCs w:val="22"/>
              </w:rPr>
            </w:pPr>
          </w:p>
          <w:p w14:paraId="13D2A10E" w14:textId="77777777" w:rsidR="0046503C" w:rsidRPr="0046503C" w:rsidRDefault="0046503C" w:rsidP="003859EF">
            <w:pPr>
              <w:rPr>
                <w:rFonts w:ascii="Arial" w:hAnsi="Arial" w:cs="Arial"/>
                <w:sz w:val="22"/>
                <w:szCs w:val="22"/>
              </w:rPr>
            </w:pPr>
          </w:p>
          <w:p w14:paraId="13D2A10F" w14:textId="77777777" w:rsidR="0046503C" w:rsidRPr="0046503C" w:rsidRDefault="0046503C" w:rsidP="003859EF">
            <w:pPr>
              <w:rPr>
                <w:rFonts w:ascii="Arial" w:hAnsi="Arial" w:cs="Arial"/>
                <w:sz w:val="22"/>
                <w:szCs w:val="22"/>
              </w:rPr>
            </w:pPr>
          </w:p>
        </w:tc>
      </w:tr>
    </w:tbl>
    <w:p w14:paraId="13D2A111" w14:textId="77777777" w:rsidR="0046503C" w:rsidRPr="0046503C" w:rsidRDefault="0046503C" w:rsidP="0046503C">
      <w:pPr>
        <w:rPr>
          <w:rFonts w:ascii="Arial" w:hAnsi="Arial" w:cs="Arial"/>
          <w:sz w:val="22"/>
          <w:szCs w:val="22"/>
        </w:rPr>
      </w:pPr>
    </w:p>
    <w:p w14:paraId="13D2A112" w14:textId="77777777" w:rsidR="0046503C" w:rsidRPr="001809CF" w:rsidRDefault="0046503C" w:rsidP="001809CF">
      <w:pPr>
        <w:rPr>
          <w:rFonts w:ascii="TKTypeRegular" w:hAnsi="TKTypeRegular"/>
          <w:sz w:val="22"/>
          <w:szCs w:val="22"/>
        </w:rPr>
      </w:pPr>
    </w:p>
    <w:p w14:paraId="13D2A113" w14:textId="77777777" w:rsidR="001809CF" w:rsidRPr="0046503C" w:rsidRDefault="002320EE" w:rsidP="001809CF">
      <w:pPr>
        <w:keepNext/>
        <w:keepLines/>
        <w:jc w:val="both"/>
        <w:rPr>
          <w:rFonts w:ascii="Arial" w:hAnsi="Arial" w:cs="Arial"/>
          <w:sz w:val="22"/>
          <w:szCs w:val="22"/>
        </w:rPr>
      </w:pPr>
      <w:r>
        <w:rPr>
          <w:rFonts w:ascii="Arial" w:hAnsi="Arial" w:cs="Arial"/>
          <w:sz w:val="22"/>
          <w:szCs w:val="22"/>
        </w:rPr>
        <w:tab/>
      </w:r>
      <w:r>
        <w:rPr>
          <w:rFonts w:ascii="Arial" w:hAnsi="Arial" w:cs="Arial"/>
          <w:sz w:val="22"/>
          <w:szCs w:val="22"/>
        </w:rPr>
        <w:tab/>
        <w:t>5</w:t>
      </w:r>
      <w:r w:rsidR="001809CF" w:rsidRPr="0046503C">
        <w:rPr>
          <w:rFonts w:ascii="Arial" w:hAnsi="Arial" w:cs="Arial"/>
          <w:sz w:val="22"/>
          <w:szCs w:val="22"/>
        </w:rPr>
        <w:t>.</w:t>
      </w:r>
      <w:r w:rsidR="001809CF" w:rsidRPr="0046503C">
        <w:rPr>
          <w:rFonts w:ascii="Arial" w:hAnsi="Arial" w:cs="Arial"/>
          <w:sz w:val="22"/>
          <w:szCs w:val="22"/>
        </w:rPr>
        <w:tab/>
        <w:t>Data Breach Notification Vendor</w:t>
      </w:r>
    </w:p>
    <w:p w14:paraId="13D2A114" w14:textId="77777777" w:rsidR="001809CF" w:rsidRPr="0046503C" w:rsidRDefault="001809CF" w:rsidP="001809CF">
      <w:pPr>
        <w:keepNext/>
        <w:keepLines/>
        <w:jc w:val="both"/>
        <w:rPr>
          <w:rFonts w:ascii="Arial" w:hAnsi="Arial" w:cs="Arial"/>
          <w:sz w:val="22"/>
          <w:szCs w:val="22"/>
        </w:rPr>
      </w:pPr>
    </w:p>
    <w:tbl>
      <w:tblPr>
        <w:tblStyle w:val="TableGrid"/>
        <w:tblW w:w="0" w:type="auto"/>
        <w:shd w:val="clear" w:color="auto" w:fill="95B3D7" w:themeFill="accent1" w:themeFillTint="99"/>
        <w:tblLook w:val="04A0" w:firstRow="1" w:lastRow="0" w:firstColumn="1" w:lastColumn="0" w:noHBand="0" w:noVBand="1"/>
      </w:tblPr>
      <w:tblGrid>
        <w:gridCol w:w="2346"/>
        <w:gridCol w:w="1203"/>
        <w:gridCol w:w="1224"/>
        <w:gridCol w:w="2247"/>
        <w:gridCol w:w="2330"/>
      </w:tblGrid>
      <w:tr w:rsidR="001809CF" w:rsidRPr="0046503C" w14:paraId="13D2A118" w14:textId="77777777" w:rsidTr="001809CF">
        <w:tc>
          <w:tcPr>
            <w:tcW w:w="3618" w:type="dxa"/>
            <w:gridSpan w:val="2"/>
            <w:tcBorders>
              <w:bottom w:val="single" w:sz="4" w:space="0" w:color="auto"/>
            </w:tcBorders>
            <w:shd w:val="clear" w:color="auto" w:fill="BFBFBF" w:themeFill="background1" w:themeFillShade="BF"/>
          </w:tcPr>
          <w:p w14:paraId="13D2A115" w14:textId="77777777" w:rsidR="001809CF" w:rsidRPr="0046503C" w:rsidRDefault="001809CF" w:rsidP="001809CF">
            <w:pPr>
              <w:rPr>
                <w:rFonts w:ascii="Arial" w:hAnsi="Arial" w:cs="Arial"/>
                <w:i/>
                <w:color w:val="FFFFFF" w:themeColor="background1"/>
                <w:sz w:val="22"/>
                <w:szCs w:val="22"/>
              </w:rPr>
            </w:pPr>
            <w:r w:rsidRPr="0046503C">
              <w:rPr>
                <w:rFonts w:ascii="Arial" w:hAnsi="Arial" w:cs="Arial"/>
                <w:i/>
                <w:color w:val="FFFFFF" w:themeColor="background1"/>
                <w:sz w:val="22"/>
                <w:szCs w:val="22"/>
              </w:rPr>
              <w:t xml:space="preserve">Data Breach Notification </w:t>
            </w:r>
          </w:p>
          <w:p w14:paraId="13D2A116" w14:textId="77777777" w:rsidR="001809CF" w:rsidRPr="0046503C" w:rsidRDefault="00CD2017" w:rsidP="00CD2017">
            <w:pPr>
              <w:rPr>
                <w:rFonts w:ascii="Arial" w:hAnsi="Arial" w:cs="Arial"/>
                <w:i/>
                <w:color w:val="FFFFFF" w:themeColor="background1"/>
                <w:sz w:val="22"/>
                <w:szCs w:val="22"/>
              </w:rPr>
            </w:pPr>
            <w:r>
              <w:rPr>
                <w:rFonts w:ascii="Arial" w:hAnsi="Arial" w:cs="Arial"/>
                <w:i/>
                <w:color w:val="FFFFFF" w:themeColor="background1"/>
                <w:sz w:val="22"/>
                <w:szCs w:val="22"/>
              </w:rPr>
              <w:t>Vendor</w:t>
            </w:r>
          </w:p>
        </w:tc>
        <w:tc>
          <w:tcPr>
            <w:tcW w:w="5958" w:type="dxa"/>
            <w:gridSpan w:val="3"/>
            <w:tcBorders>
              <w:bottom w:val="single" w:sz="4" w:space="0" w:color="auto"/>
            </w:tcBorders>
            <w:shd w:val="clear" w:color="auto" w:fill="auto"/>
          </w:tcPr>
          <w:p w14:paraId="13D2A117" w14:textId="77777777" w:rsidR="001809CF" w:rsidRPr="0046503C" w:rsidRDefault="00A64C9D" w:rsidP="001809CF">
            <w:pPr>
              <w:rPr>
                <w:rFonts w:ascii="Arial" w:hAnsi="Arial" w:cs="Arial"/>
                <w:color w:val="FFFFFF" w:themeColor="background1"/>
                <w:sz w:val="22"/>
                <w:szCs w:val="22"/>
              </w:rPr>
            </w:pPr>
            <w:r>
              <w:rPr>
                <w:rFonts w:ascii="Arial" w:hAnsi="Arial" w:cs="Arial"/>
                <w:color w:val="000000" w:themeColor="text1"/>
                <w:sz w:val="22"/>
                <w:szCs w:val="22"/>
              </w:rPr>
              <w:t>Organization</w:t>
            </w:r>
            <w:r w:rsidR="001809CF" w:rsidRPr="0046503C">
              <w:rPr>
                <w:rFonts w:ascii="Arial" w:hAnsi="Arial" w:cs="Arial"/>
                <w:color w:val="000000" w:themeColor="text1"/>
                <w:sz w:val="22"/>
                <w:szCs w:val="22"/>
              </w:rPr>
              <w:t>:</w:t>
            </w:r>
          </w:p>
        </w:tc>
      </w:tr>
      <w:tr w:rsidR="001809CF" w:rsidRPr="0046503C" w14:paraId="13D2A11C" w14:textId="77777777" w:rsidTr="001809CF">
        <w:trPr>
          <w:trHeight w:val="548"/>
        </w:trPr>
        <w:tc>
          <w:tcPr>
            <w:tcW w:w="3618" w:type="dxa"/>
            <w:gridSpan w:val="2"/>
            <w:tcBorders>
              <w:bottom w:val="single" w:sz="4" w:space="0" w:color="auto"/>
            </w:tcBorders>
            <w:shd w:val="clear" w:color="auto" w:fill="D9D9D9" w:themeFill="background1" w:themeFillShade="D9"/>
          </w:tcPr>
          <w:p w14:paraId="13D2A119" w14:textId="77777777" w:rsidR="001809CF" w:rsidRPr="0046503C" w:rsidRDefault="001809CF" w:rsidP="001809CF">
            <w:pPr>
              <w:rPr>
                <w:rFonts w:ascii="Arial" w:hAnsi="Arial" w:cs="Arial"/>
                <w:sz w:val="22"/>
                <w:szCs w:val="22"/>
              </w:rPr>
            </w:pPr>
            <w:r w:rsidRPr="0046503C">
              <w:rPr>
                <w:rFonts w:ascii="Arial" w:hAnsi="Arial" w:cs="Arial"/>
                <w:sz w:val="22"/>
                <w:szCs w:val="22"/>
              </w:rPr>
              <w:t>Name:</w:t>
            </w:r>
          </w:p>
          <w:p w14:paraId="13D2A11A" w14:textId="77777777" w:rsidR="001809CF" w:rsidRPr="0046503C" w:rsidRDefault="001809CF" w:rsidP="001809CF">
            <w:pPr>
              <w:rPr>
                <w:rFonts w:ascii="Arial" w:hAnsi="Arial" w:cs="Arial"/>
                <w:sz w:val="22"/>
                <w:szCs w:val="22"/>
              </w:rPr>
            </w:pPr>
          </w:p>
        </w:tc>
        <w:tc>
          <w:tcPr>
            <w:tcW w:w="5958" w:type="dxa"/>
            <w:gridSpan w:val="3"/>
            <w:tcBorders>
              <w:bottom w:val="single" w:sz="4" w:space="0" w:color="auto"/>
            </w:tcBorders>
            <w:shd w:val="clear" w:color="auto" w:fill="D9D9D9" w:themeFill="background1" w:themeFillShade="D9"/>
          </w:tcPr>
          <w:p w14:paraId="13D2A11B" w14:textId="77777777" w:rsidR="001809CF" w:rsidRPr="0046503C" w:rsidRDefault="001809CF" w:rsidP="001809CF">
            <w:pPr>
              <w:rPr>
                <w:rFonts w:ascii="Arial" w:hAnsi="Arial" w:cs="Arial"/>
                <w:sz w:val="22"/>
                <w:szCs w:val="22"/>
              </w:rPr>
            </w:pPr>
            <w:r w:rsidRPr="0046503C">
              <w:rPr>
                <w:rFonts w:ascii="Arial" w:hAnsi="Arial" w:cs="Arial"/>
                <w:sz w:val="22"/>
                <w:szCs w:val="22"/>
              </w:rPr>
              <w:t>Title:</w:t>
            </w:r>
          </w:p>
        </w:tc>
      </w:tr>
      <w:tr w:rsidR="001809CF" w:rsidRPr="0046503C" w14:paraId="13D2A124" w14:textId="77777777" w:rsidTr="001809CF">
        <w:trPr>
          <w:trHeight w:val="548"/>
        </w:trPr>
        <w:tc>
          <w:tcPr>
            <w:tcW w:w="2394" w:type="dxa"/>
            <w:shd w:val="clear" w:color="auto" w:fill="F2F2F2" w:themeFill="background1" w:themeFillShade="F2"/>
          </w:tcPr>
          <w:p w14:paraId="13D2A11D" w14:textId="77777777" w:rsidR="001809CF" w:rsidRPr="0046503C" w:rsidRDefault="001809CF" w:rsidP="001809CF">
            <w:pPr>
              <w:rPr>
                <w:rFonts w:ascii="Arial" w:hAnsi="Arial" w:cs="Arial"/>
                <w:sz w:val="22"/>
                <w:szCs w:val="22"/>
              </w:rPr>
            </w:pPr>
            <w:r w:rsidRPr="0046503C">
              <w:rPr>
                <w:rFonts w:ascii="Arial" w:hAnsi="Arial" w:cs="Arial"/>
                <w:sz w:val="22"/>
                <w:szCs w:val="22"/>
              </w:rPr>
              <w:t>Work Mobile Phone:</w:t>
            </w:r>
          </w:p>
        </w:tc>
        <w:tc>
          <w:tcPr>
            <w:tcW w:w="2484" w:type="dxa"/>
            <w:gridSpan w:val="2"/>
            <w:shd w:val="clear" w:color="auto" w:fill="F2F2F2" w:themeFill="background1" w:themeFillShade="F2"/>
          </w:tcPr>
          <w:p w14:paraId="13D2A11E" w14:textId="77777777" w:rsidR="001809CF" w:rsidRPr="0046503C" w:rsidRDefault="001809CF" w:rsidP="001809CF">
            <w:pPr>
              <w:rPr>
                <w:rFonts w:ascii="Arial" w:hAnsi="Arial" w:cs="Arial"/>
                <w:sz w:val="22"/>
                <w:szCs w:val="22"/>
              </w:rPr>
            </w:pPr>
            <w:r w:rsidRPr="0046503C">
              <w:rPr>
                <w:rFonts w:ascii="Arial" w:hAnsi="Arial" w:cs="Arial"/>
                <w:sz w:val="22"/>
                <w:szCs w:val="22"/>
              </w:rPr>
              <w:t>Personal Mobile Phone:</w:t>
            </w:r>
          </w:p>
        </w:tc>
        <w:tc>
          <w:tcPr>
            <w:tcW w:w="2304" w:type="dxa"/>
            <w:shd w:val="clear" w:color="auto" w:fill="F2F2F2" w:themeFill="background1" w:themeFillShade="F2"/>
          </w:tcPr>
          <w:p w14:paraId="13D2A11F" w14:textId="77777777" w:rsidR="001809CF" w:rsidRPr="0046503C" w:rsidRDefault="001809CF" w:rsidP="001809CF">
            <w:pPr>
              <w:rPr>
                <w:rFonts w:ascii="Arial" w:hAnsi="Arial" w:cs="Arial"/>
                <w:sz w:val="22"/>
                <w:szCs w:val="22"/>
              </w:rPr>
            </w:pPr>
            <w:r w:rsidRPr="0046503C">
              <w:rPr>
                <w:rFonts w:ascii="Arial" w:hAnsi="Arial" w:cs="Arial"/>
                <w:sz w:val="22"/>
                <w:szCs w:val="22"/>
              </w:rPr>
              <w:t>Office Phone:</w:t>
            </w:r>
          </w:p>
        </w:tc>
        <w:tc>
          <w:tcPr>
            <w:tcW w:w="2394" w:type="dxa"/>
            <w:shd w:val="clear" w:color="auto" w:fill="F2F2F2" w:themeFill="background1" w:themeFillShade="F2"/>
          </w:tcPr>
          <w:p w14:paraId="13D2A120" w14:textId="77777777" w:rsidR="001809CF" w:rsidRPr="0046503C" w:rsidRDefault="001809CF" w:rsidP="001809CF">
            <w:pPr>
              <w:rPr>
                <w:rFonts w:ascii="Arial" w:hAnsi="Arial" w:cs="Arial"/>
                <w:sz w:val="22"/>
                <w:szCs w:val="22"/>
              </w:rPr>
            </w:pPr>
            <w:r w:rsidRPr="0046503C">
              <w:rPr>
                <w:rFonts w:ascii="Arial" w:hAnsi="Arial" w:cs="Arial"/>
                <w:sz w:val="22"/>
                <w:szCs w:val="22"/>
              </w:rPr>
              <w:t>Email:</w:t>
            </w:r>
          </w:p>
          <w:p w14:paraId="13D2A121" w14:textId="77777777" w:rsidR="001809CF" w:rsidRPr="0046503C" w:rsidRDefault="001809CF" w:rsidP="001809CF">
            <w:pPr>
              <w:rPr>
                <w:rFonts w:ascii="Arial" w:hAnsi="Arial" w:cs="Arial"/>
                <w:sz w:val="22"/>
                <w:szCs w:val="22"/>
              </w:rPr>
            </w:pPr>
          </w:p>
          <w:p w14:paraId="13D2A122" w14:textId="77777777" w:rsidR="001809CF" w:rsidRPr="0046503C" w:rsidRDefault="001809CF" w:rsidP="001809CF">
            <w:pPr>
              <w:rPr>
                <w:rFonts w:ascii="Arial" w:hAnsi="Arial" w:cs="Arial"/>
                <w:sz w:val="22"/>
                <w:szCs w:val="22"/>
              </w:rPr>
            </w:pPr>
          </w:p>
          <w:p w14:paraId="13D2A123" w14:textId="77777777" w:rsidR="001809CF" w:rsidRPr="0046503C" w:rsidRDefault="001809CF" w:rsidP="001809CF">
            <w:pPr>
              <w:rPr>
                <w:rFonts w:ascii="Arial" w:hAnsi="Arial" w:cs="Arial"/>
                <w:sz w:val="22"/>
                <w:szCs w:val="22"/>
              </w:rPr>
            </w:pPr>
          </w:p>
        </w:tc>
      </w:tr>
    </w:tbl>
    <w:p w14:paraId="13D2A125" w14:textId="77777777" w:rsidR="001809CF" w:rsidRDefault="001809CF" w:rsidP="001809CF">
      <w:pPr>
        <w:rPr>
          <w:rFonts w:ascii="Arial" w:hAnsi="Arial" w:cs="Arial"/>
          <w:sz w:val="22"/>
          <w:szCs w:val="22"/>
        </w:rPr>
      </w:pPr>
    </w:p>
    <w:p w14:paraId="13D2A126" w14:textId="77777777" w:rsidR="00CD2017" w:rsidRPr="0046503C" w:rsidRDefault="00CD2017" w:rsidP="001809CF">
      <w:pPr>
        <w:rPr>
          <w:rFonts w:ascii="Arial" w:hAnsi="Arial" w:cs="Arial"/>
          <w:sz w:val="22"/>
          <w:szCs w:val="22"/>
        </w:rPr>
      </w:pPr>
    </w:p>
    <w:p w14:paraId="13D2A127" w14:textId="77777777" w:rsidR="0061451D" w:rsidRDefault="0061451D" w:rsidP="00063FA2">
      <w:pPr>
        <w:jc w:val="both"/>
        <w:rPr>
          <w:rFonts w:ascii="TKTypeRegular" w:hAnsi="TKTypeRegular"/>
          <w:b/>
          <w:sz w:val="22"/>
          <w:szCs w:val="22"/>
        </w:rPr>
      </w:pPr>
    </w:p>
    <w:p w14:paraId="13D2A128" w14:textId="77777777" w:rsidR="0061451D" w:rsidRDefault="0061451D" w:rsidP="00063FA2">
      <w:pPr>
        <w:jc w:val="both"/>
        <w:rPr>
          <w:rFonts w:ascii="TKTypeRegular" w:hAnsi="TKTypeRegular"/>
          <w:b/>
          <w:sz w:val="22"/>
          <w:szCs w:val="22"/>
        </w:rPr>
      </w:pPr>
    </w:p>
    <w:p w14:paraId="13D2A129" w14:textId="77777777" w:rsidR="00063FA2" w:rsidRPr="00766ACD" w:rsidRDefault="00063FA2" w:rsidP="00063FA2">
      <w:pPr>
        <w:jc w:val="both"/>
        <w:rPr>
          <w:rFonts w:ascii="Arial" w:hAnsi="Arial" w:cs="Arial"/>
          <w:b/>
          <w:sz w:val="22"/>
          <w:szCs w:val="22"/>
        </w:rPr>
      </w:pPr>
      <w:r w:rsidRPr="00766ACD">
        <w:rPr>
          <w:rFonts w:ascii="Arial" w:hAnsi="Arial" w:cs="Arial"/>
          <w:b/>
          <w:sz w:val="22"/>
          <w:szCs w:val="22"/>
        </w:rPr>
        <w:t xml:space="preserve">III. </w:t>
      </w:r>
      <w:r w:rsidRPr="00766ACD">
        <w:rPr>
          <w:rFonts w:ascii="Arial" w:hAnsi="Arial" w:cs="Arial"/>
          <w:b/>
          <w:sz w:val="22"/>
          <w:szCs w:val="22"/>
        </w:rPr>
        <w:tab/>
      </w:r>
      <w:r w:rsidR="00DD59CC" w:rsidRPr="00766ACD">
        <w:rPr>
          <w:rFonts w:ascii="Arial" w:hAnsi="Arial" w:cs="Arial"/>
          <w:b/>
          <w:sz w:val="22"/>
          <w:szCs w:val="22"/>
        </w:rPr>
        <w:t>DEFINITIONS AND POLICIES</w:t>
      </w:r>
    </w:p>
    <w:p w14:paraId="13D2A12A" w14:textId="77777777" w:rsidR="00063FA2" w:rsidRPr="00766ACD" w:rsidRDefault="00063FA2" w:rsidP="00063FA2">
      <w:pPr>
        <w:jc w:val="both"/>
        <w:rPr>
          <w:rFonts w:ascii="Arial" w:hAnsi="Arial" w:cs="Arial"/>
          <w:b/>
          <w:sz w:val="22"/>
          <w:szCs w:val="22"/>
        </w:rPr>
      </w:pPr>
    </w:p>
    <w:p w14:paraId="13D2A12B" w14:textId="77777777" w:rsidR="00063FA2" w:rsidRPr="00766ACD" w:rsidRDefault="00063FA2" w:rsidP="00063FA2">
      <w:pPr>
        <w:ind w:firstLine="720"/>
        <w:jc w:val="both"/>
        <w:rPr>
          <w:rFonts w:ascii="Arial" w:hAnsi="Arial" w:cs="Arial"/>
          <w:b/>
          <w:sz w:val="22"/>
          <w:szCs w:val="22"/>
        </w:rPr>
      </w:pPr>
      <w:r w:rsidRPr="00766ACD">
        <w:rPr>
          <w:rFonts w:ascii="Arial" w:hAnsi="Arial" w:cs="Arial"/>
          <w:sz w:val="22"/>
          <w:szCs w:val="22"/>
        </w:rPr>
        <w:t>A.</w:t>
      </w:r>
      <w:r w:rsidRPr="00766ACD">
        <w:rPr>
          <w:rFonts w:ascii="Arial" w:hAnsi="Arial" w:cs="Arial"/>
          <w:b/>
          <w:sz w:val="22"/>
          <w:szCs w:val="22"/>
        </w:rPr>
        <w:tab/>
      </w:r>
      <w:r w:rsidR="00DD59CC" w:rsidRPr="00766ACD">
        <w:rPr>
          <w:rFonts w:ascii="Arial" w:hAnsi="Arial" w:cs="Arial"/>
          <w:caps/>
          <w:sz w:val="22"/>
          <w:szCs w:val="22"/>
          <w:u w:val="single"/>
        </w:rPr>
        <w:t>definitions</w:t>
      </w:r>
      <w:r w:rsidRPr="00766ACD">
        <w:rPr>
          <w:rFonts w:ascii="Arial" w:hAnsi="Arial" w:cs="Arial"/>
          <w:caps/>
          <w:sz w:val="22"/>
          <w:szCs w:val="22"/>
        </w:rPr>
        <w:t xml:space="preserve">. </w:t>
      </w:r>
    </w:p>
    <w:p w14:paraId="13D2A12C" w14:textId="77777777" w:rsidR="00063FA2" w:rsidRPr="00766ACD" w:rsidRDefault="00063FA2" w:rsidP="00063FA2">
      <w:pPr>
        <w:ind w:firstLine="720"/>
        <w:jc w:val="both"/>
        <w:rPr>
          <w:rFonts w:ascii="Arial" w:hAnsi="Arial" w:cs="Arial"/>
          <w:sz w:val="22"/>
          <w:szCs w:val="22"/>
        </w:rPr>
      </w:pPr>
    </w:p>
    <w:p w14:paraId="13D2A12D" w14:textId="77777777" w:rsidR="00DE4144" w:rsidRPr="00AD2403" w:rsidRDefault="00063FA2" w:rsidP="00AD2403">
      <w:pPr>
        <w:pStyle w:val="Default"/>
        <w:ind w:left="720" w:firstLine="720"/>
        <w:jc w:val="both"/>
        <w:rPr>
          <w:rFonts w:ascii="Arial" w:hAnsi="Arial" w:cs="Arial"/>
          <w:sz w:val="22"/>
          <w:szCs w:val="22"/>
        </w:rPr>
      </w:pPr>
      <w:r w:rsidRPr="00DE4144">
        <w:rPr>
          <w:rFonts w:ascii="Arial" w:hAnsi="Arial" w:cs="Arial"/>
          <w:sz w:val="22"/>
          <w:szCs w:val="22"/>
        </w:rPr>
        <w:lastRenderedPageBreak/>
        <w:t>1.</w:t>
      </w:r>
      <w:r w:rsidRPr="00DE4144">
        <w:rPr>
          <w:rFonts w:ascii="Arial" w:hAnsi="Arial" w:cs="Arial"/>
          <w:sz w:val="22"/>
          <w:szCs w:val="22"/>
        </w:rPr>
        <w:tab/>
      </w:r>
      <w:r w:rsidR="00DD59CC" w:rsidRPr="00DE4144">
        <w:rPr>
          <w:rFonts w:ascii="Arial" w:hAnsi="Arial" w:cs="Arial"/>
          <w:b/>
          <w:sz w:val="22"/>
          <w:szCs w:val="22"/>
        </w:rPr>
        <w:t>Personal</w:t>
      </w:r>
      <w:r w:rsidR="0092275F">
        <w:rPr>
          <w:rFonts w:ascii="Arial" w:hAnsi="Arial" w:cs="Arial"/>
          <w:b/>
          <w:sz w:val="22"/>
          <w:szCs w:val="22"/>
        </w:rPr>
        <w:t>ly Identifiable</w:t>
      </w:r>
      <w:r w:rsidR="00DD59CC" w:rsidRPr="00DE4144">
        <w:rPr>
          <w:rFonts w:ascii="Arial" w:hAnsi="Arial" w:cs="Arial"/>
          <w:b/>
          <w:sz w:val="22"/>
          <w:szCs w:val="22"/>
        </w:rPr>
        <w:t xml:space="preserve"> Information (</w:t>
      </w:r>
      <w:r w:rsidR="0092275F">
        <w:rPr>
          <w:rFonts w:ascii="Arial" w:hAnsi="Arial" w:cs="Arial"/>
          <w:b/>
          <w:sz w:val="22"/>
          <w:szCs w:val="22"/>
        </w:rPr>
        <w:t>PII</w:t>
      </w:r>
      <w:r w:rsidR="00DD59CC" w:rsidRPr="00DE4144">
        <w:rPr>
          <w:rFonts w:ascii="Arial" w:hAnsi="Arial" w:cs="Arial"/>
          <w:b/>
          <w:sz w:val="22"/>
          <w:szCs w:val="22"/>
        </w:rPr>
        <w:t xml:space="preserve">) </w:t>
      </w:r>
      <w:r w:rsidR="00DD59CC" w:rsidRPr="00DE4144">
        <w:rPr>
          <w:rFonts w:ascii="Arial" w:hAnsi="Arial" w:cs="Arial"/>
          <w:sz w:val="22"/>
          <w:szCs w:val="22"/>
        </w:rPr>
        <w:t xml:space="preserve">–  </w:t>
      </w:r>
      <w:r w:rsidR="0092275F">
        <w:rPr>
          <w:rFonts w:ascii="Arial" w:hAnsi="Arial" w:cs="Arial"/>
          <w:sz w:val="22"/>
          <w:szCs w:val="22"/>
        </w:rPr>
        <w:t>PII</w:t>
      </w:r>
      <w:r w:rsidR="00DD59CC" w:rsidRPr="00DE4144">
        <w:rPr>
          <w:rFonts w:ascii="Arial" w:hAnsi="Arial" w:cs="Arial"/>
          <w:sz w:val="22"/>
          <w:szCs w:val="22"/>
        </w:rPr>
        <w:t xml:space="preserve"> is confidential information and includes an individual’s first name and last name or first initial and last name in combination with any</w:t>
      </w:r>
      <w:r w:rsidR="00DE4144" w:rsidRPr="00DE4144">
        <w:rPr>
          <w:rFonts w:ascii="Arial" w:hAnsi="Arial" w:cs="Arial"/>
          <w:sz w:val="22"/>
          <w:szCs w:val="22"/>
        </w:rPr>
        <w:t xml:space="preserve"> one or more</w:t>
      </w:r>
      <w:r w:rsidR="00DD59CC" w:rsidRPr="00DE4144">
        <w:rPr>
          <w:rFonts w:ascii="Arial" w:hAnsi="Arial" w:cs="Arial"/>
          <w:sz w:val="22"/>
          <w:szCs w:val="22"/>
        </w:rPr>
        <w:t xml:space="preserve"> of the following</w:t>
      </w:r>
      <w:r w:rsidR="00244AAB" w:rsidRPr="00DE4144">
        <w:rPr>
          <w:rFonts w:ascii="Arial" w:hAnsi="Arial" w:cs="Arial"/>
          <w:sz w:val="22"/>
          <w:szCs w:val="22"/>
        </w:rPr>
        <w:t xml:space="preserve"> </w:t>
      </w:r>
      <w:r w:rsidR="00DE4144" w:rsidRPr="00AD2403">
        <w:rPr>
          <w:rFonts w:ascii="Arial" w:hAnsi="Arial" w:cs="Arial"/>
          <w:sz w:val="22"/>
          <w:szCs w:val="22"/>
        </w:rPr>
        <w:t>data elements that relate to such individual</w:t>
      </w:r>
      <w:r w:rsidR="00DE4144" w:rsidRPr="00DE4144">
        <w:rPr>
          <w:rFonts w:ascii="Arial" w:hAnsi="Arial" w:cs="Arial"/>
          <w:sz w:val="22"/>
          <w:szCs w:val="22"/>
        </w:rPr>
        <w:t xml:space="preserve"> </w:t>
      </w:r>
      <w:r w:rsidR="00244AAB" w:rsidRPr="00DE4144">
        <w:rPr>
          <w:rFonts w:ascii="Arial" w:hAnsi="Arial" w:cs="Arial"/>
          <w:sz w:val="22"/>
          <w:szCs w:val="22"/>
        </w:rPr>
        <w:t>(depending on the State(s) statute(s) at issue</w:t>
      </w:r>
      <w:r w:rsidR="00DD59CC" w:rsidRPr="00DE4144">
        <w:rPr>
          <w:rFonts w:ascii="Arial" w:hAnsi="Arial" w:cs="Arial"/>
          <w:sz w:val="22"/>
          <w:szCs w:val="22"/>
        </w:rPr>
        <w:t xml:space="preserve">: </w:t>
      </w:r>
      <w:r w:rsidR="00DE4144" w:rsidRPr="00AD2403">
        <w:rPr>
          <w:rFonts w:ascii="Arial" w:hAnsi="Arial" w:cs="Arial"/>
          <w:sz w:val="22"/>
          <w:szCs w:val="22"/>
        </w:rPr>
        <w:t xml:space="preserve">Social Security number; </w:t>
      </w:r>
      <w:proofErr w:type="spellStart"/>
      <w:r w:rsidR="00DE4144" w:rsidRPr="00AD2403">
        <w:rPr>
          <w:rFonts w:ascii="Arial" w:hAnsi="Arial" w:cs="Arial"/>
          <w:sz w:val="22"/>
          <w:szCs w:val="22"/>
        </w:rPr>
        <w:t>Diver's</w:t>
      </w:r>
      <w:proofErr w:type="spellEnd"/>
      <w:r w:rsidR="00DE4144" w:rsidRPr="00AD2403">
        <w:rPr>
          <w:rFonts w:ascii="Arial" w:hAnsi="Arial" w:cs="Arial"/>
          <w:sz w:val="22"/>
          <w:szCs w:val="22"/>
        </w:rPr>
        <w:t xml:space="preserve"> license number or state-issued identification card number; Financial account number, or credit or debit card number, with or without any required security code, access code, personal identification number or password, that would permit access to an individual’s financial account; Passport number; Medical history, mental or physical condition, or medical treatment or diagnosis by a healthcare professional or health insurance information; or Username or email address coupled with a password or security question and answer that would permit access to an online account.</w:t>
      </w:r>
    </w:p>
    <w:p w14:paraId="13D2A12E" w14:textId="77777777" w:rsidR="00DE4144" w:rsidRDefault="00DE4144" w:rsidP="00DD59CC">
      <w:pPr>
        <w:ind w:left="720"/>
        <w:jc w:val="both"/>
        <w:rPr>
          <w:rFonts w:ascii="Arial" w:hAnsi="Arial" w:cs="Arial"/>
          <w:b/>
          <w:sz w:val="22"/>
          <w:szCs w:val="22"/>
        </w:rPr>
      </w:pPr>
    </w:p>
    <w:p w14:paraId="13D2A12F" w14:textId="77777777" w:rsidR="00063FA2" w:rsidRPr="00766ACD" w:rsidRDefault="00DD59CC" w:rsidP="00DD59CC">
      <w:pPr>
        <w:ind w:left="720" w:firstLine="720"/>
        <w:jc w:val="both"/>
        <w:rPr>
          <w:rFonts w:ascii="Arial" w:hAnsi="Arial" w:cs="Arial"/>
          <w:sz w:val="22"/>
          <w:szCs w:val="22"/>
        </w:rPr>
      </w:pPr>
      <w:r w:rsidRPr="00766ACD">
        <w:rPr>
          <w:rFonts w:ascii="Arial" w:hAnsi="Arial" w:cs="Arial"/>
          <w:sz w:val="22"/>
          <w:szCs w:val="22"/>
        </w:rPr>
        <w:t>2.</w:t>
      </w:r>
      <w:r w:rsidRPr="00766ACD">
        <w:rPr>
          <w:rFonts w:ascii="Arial" w:hAnsi="Arial" w:cs="Arial"/>
          <w:b/>
          <w:sz w:val="22"/>
          <w:szCs w:val="22"/>
        </w:rPr>
        <w:tab/>
        <w:t>Protected Health Information (PHI) –</w:t>
      </w:r>
      <w:r w:rsidR="001671E7">
        <w:rPr>
          <w:rFonts w:ascii="Arial" w:hAnsi="Arial" w:cs="Arial"/>
          <w:b/>
          <w:sz w:val="22"/>
          <w:szCs w:val="22"/>
        </w:rPr>
        <w:t xml:space="preserve"> </w:t>
      </w:r>
      <w:r w:rsidRPr="00766ACD">
        <w:rPr>
          <w:rFonts w:ascii="Arial" w:hAnsi="Arial" w:cs="Arial"/>
          <w:sz w:val="22"/>
          <w:szCs w:val="22"/>
        </w:rPr>
        <w:t xml:space="preserve">PHI is confidential information and includes information that is created, received, and/or maintained by the </w:t>
      </w:r>
      <w:r w:rsidR="00A64C9D">
        <w:rPr>
          <w:rFonts w:ascii="Arial" w:hAnsi="Arial" w:cs="Arial"/>
          <w:sz w:val="22"/>
          <w:szCs w:val="22"/>
        </w:rPr>
        <w:t>Organization</w:t>
      </w:r>
      <w:r w:rsidRPr="00766ACD">
        <w:rPr>
          <w:rFonts w:ascii="Arial" w:hAnsi="Arial" w:cs="Arial"/>
          <w:sz w:val="22"/>
          <w:szCs w:val="22"/>
        </w:rPr>
        <w:t xml:space="preserve"> related to an individual’s health care (or payment related to health care) that directly or indirectly identifies the individual.</w:t>
      </w:r>
    </w:p>
    <w:p w14:paraId="13D2A130" w14:textId="77777777" w:rsidR="00DD59CC" w:rsidRPr="00766ACD" w:rsidRDefault="00DD59CC" w:rsidP="00DD59CC">
      <w:pPr>
        <w:ind w:left="720" w:firstLine="720"/>
        <w:jc w:val="both"/>
        <w:rPr>
          <w:rFonts w:ascii="Arial" w:hAnsi="Arial" w:cs="Arial"/>
          <w:sz w:val="22"/>
          <w:szCs w:val="22"/>
        </w:rPr>
      </w:pPr>
    </w:p>
    <w:p w14:paraId="13D2A131" w14:textId="77777777" w:rsidR="0061451D" w:rsidRDefault="00DD59CC" w:rsidP="00C656BB">
      <w:pPr>
        <w:ind w:left="720" w:firstLine="720"/>
        <w:jc w:val="both"/>
        <w:rPr>
          <w:rFonts w:ascii="Arial" w:hAnsi="Arial" w:cs="Arial"/>
          <w:sz w:val="22"/>
          <w:szCs w:val="22"/>
        </w:rPr>
      </w:pPr>
      <w:r w:rsidRPr="00766ACD">
        <w:rPr>
          <w:rFonts w:ascii="Arial" w:hAnsi="Arial" w:cs="Arial"/>
          <w:sz w:val="22"/>
          <w:szCs w:val="22"/>
        </w:rPr>
        <w:t>3.</w:t>
      </w:r>
      <w:r w:rsidRPr="00766ACD">
        <w:rPr>
          <w:rFonts w:ascii="Arial" w:hAnsi="Arial" w:cs="Arial"/>
          <w:sz w:val="22"/>
          <w:szCs w:val="22"/>
        </w:rPr>
        <w:tab/>
      </w:r>
      <w:r w:rsidR="00460CF2" w:rsidRPr="00766ACD">
        <w:rPr>
          <w:rFonts w:ascii="Arial" w:hAnsi="Arial" w:cs="Arial"/>
          <w:b/>
          <w:sz w:val="22"/>
          <w:szCs w:val="22"/>
        </w:rPr>
        <w:t>Data Breach</w:t>
      </w:r>
      <w:r w:rsidR="00C656BB" w:rsidRPr="00766ACD">
        <w:rPr>
          <w:rFonts w:ascii="Arial" w:hAnsi="Arial" w:cs="Arial"/>
          <w:b/>
          <w:sz w:val="22"/>
          <w:szCs w:val="22"/>
        </w:rPr>
        <w:t xml:space="preserve"> </w:t>
      </w:r>
      <w:r w:rsidR="001671E7">
        <w:rPr>
          <w:rFonts w:ascii="Arial" w:hAnsi="Arial" w:cs="Arial"/>
          <w:b/>
          <w:sz w:val="22"/>
          <w:szCs w:val="22"/>
        </w:rPr>
        <w:t xml:space="preserve">(Under State Law) </w:t>
      </w:r>
      <w:r w:rsidR="00C656BB" w:rsidRPr="00766ACD">
        <w:rPr>
          <w:rFonts w:ascii="Arial" w:hAnsi="Arial" w:cs="Arial"/>
          <w:b/>
          <w:sz w:val="22"/>
          <w:szCs w:val="22"/>
        </w:rPr>
        <w:t xml:space="preserve">– </w:t>
      </w:r>
      <w:r w:rsidR="0066558B" w:rsidRPr="00766ACD">
        <w:rPr>
          <w:rFonts w:ascii="Arial" w:hAnsi="Arial" w:cs="Arial"/>
          <w:sz w:val="22"/>
          <w:szCs w:val="22"/>
        </w:rPr>
        <w:t>the definition of a privacy-related data breach varies from state to state</w:t>
      </w:r>
      <w:r w:rsidR="004F5B21">
        <w:rPr>
          <w:rFonts w:ascii="Arial" w:hAnsi="Arial" w:cs="Arial"/>
          <w:sz w:val="22"/>
          <w:szCs w:val="22"/>
        </w:rPr>
        <w:t xml:space="preserve">.  The applicable state law is based on the current residency of each affected individual involved in the breach. </w:t>
      </w:r>
    </w:p>
    <w:p w14:paraId="13D2A132" w14:textId="77777777" w:rsidR="0061451D" w:rsidRDefault="0061451D" w:rsidP="0061451D">
      <w:pPr>
        <w:jc w:val="both"/>
        <w:rPr>
          <w:rFonts w:ascii="Arial" w:hAnsi="Arial" w:cs="Arial"/>
          <w:sz w:val="22"/>
          <w:szCs w:val="22"/>
        </w:rPr>
      </w:pPr>
    </w:p>
    <w:p w14:paraId="13D2A133" w14:textId="77777777" w:rsidR="00A966E4" w:rsidRDefault="00A966E4" w:rsidP="00AD2403">
      <w:pPr>
        <w:spacing w:after="120"/>
        <w:ind w:left="720" w:firstLine="720"/>
        <w:jc w:val="both"/>
        <w:rPr>
          <w:rFonts w:ascii="Arial" w:hAnsi="Arial" w:cs="Arial"/>
          <w:sz w:val="22"/>
          <w:szCs w:val="22"/>
        </w:rPr>
      </w:pPr>
      <w:r w:rsidRPr="00AD2403">
        <w:rPr>
          <w:rFonts w:ascii="Arial" w:hAnsi="Arial" w:cs="Arial"/>
          <w:sz w:val="22"/>
          <w:szCs w:val="22"/>
        </w:rPr>
        <w:t>4.</w:t>
      </w:r>
      <w:r w:rsidRPr="00AD2403">
        <w:rPr>
          <w:rFonts w:ascii="Arial" w:hAnsi="Arial" w:cs="Arial"/>
          <w:sz w:val="22"/>
          <w:szCs w:val="22"/>
        </w:rPr>
        <w:tab/>
      </w:r>
      <w:r w:rsidRPr="00AD2403">
        <w:rPr>
          <w:rFonts w:ascii="Arial" w:hAnsi="Arial" w:cs="Arial"/>
          <w:b/>
          <w:sz w:val="22"/>
          <w:szCs w:val="22"/>
        </w:rPr>
        <w:t xml:space="preserve">Data Breach (Under HIPAA/HITECH Final Rule) – </w:t>
      </w:r>
      <w:r w:rsidRPr="00AD2403">
        <w:rPr>
          <w:rFonts w:ascii="Arial" w:hAnsi="Arial" w:cs="Arial"/>
          <w:sz w:val="22"/>
          <w:szCs w:val="22"/>
        </w:rPr>
        <w:t>a “data breach” means an acquisition, access, use or disclosure of PHI that compromises the security or privacy of PHI.</w:t>
      </w:r>
    </w:p>
    <w:p w14:paraId="13D2A134" w14:textId="77777777" w:rsidR="009751DD" w:rsidRPr="00AD2403" w:rsidRDefault="009751DD" w:rsidP="00AD2403">
      <w:pPr>
        <w:spacing w:after="120"/>
        <w:ind w:left="720" w:firstLine="720"/>
        <w:jc w:val="both"/>
        <w:rPr>
          <w:rFonts w:ascii="Arial" w:hAnsi="Arial" w:cs="Arial"/>
          <w:b/>
          <w:sz w:val="22"/>
          <w:szCs w:val="22"/>
        </w:rPr>
      </w:pPr>
    </w:p>
    <w:p w14:paraId="13D2A135" w14:textId="77777777" w:rsidR="001671E7" w:rsidRPr="00A966E4" w:rsidRDefault="001671E7" w:rsidP="001671E7">
      <w:pPr>
        <w:keepNext/>
        <w:keepLines/>
        <w:jc w:val="both"/>
        <w:rPr>
          <w:rFonts w:ascii="Arial" w:hAnsi="Arial" w:cs="Arial"/>
          <w:sz w:val="22"/>
          <w:szCs w:val="22"/>
        </w:rPr>
      </w:pPr>
    </w:p>
    <w:p w14:paraId="13D2A136" w14:textId="77777777" w:rsidR="00364953" w:rsidRPr="00AD2403" w:rsidRDefault="00364953" w:rsidP="00364953">
      <w:pPr>
        <w:keepNext/>
        <w:keepLines/>
        <w:jc w:val="both"/>
        <w:rPr>
          <w:rFonts w:ascii="Arial" w:hAnsi="Arial" w:cs="Arial"/>
          <w:sz w:val="22"/>
          <w:szCs w:val="22"/>
        </w:rPr>
      </w:pPr>
      <w:r w:rsidRPr="00AD2403">
        <w:rPr>
          <w:rFonts w:ascii="Arial" w:hAnsi="Arial" w:cs="Arial"/>
          <w:sz w:val="22"/>
          <w:szCs w:val="22"/>
        </w:rPr>
        <w:tab/>
      </w:r>
      <w:r w:rsidR="009751DD">
        <w:rPr>
          <w:rFonts w:ascii="Arial" w:hAnsi="Arial" w:cs="Arial"/>
          <w:sz w:val="22"/>
          <w:szCs w:val="22"/>
        </w:rPr>
        <w:t>B</w:t>
      </w:r>
      <w:r w:rsidRPr="00AD2403">
        <w:rPr>
          <w:rFonts w:ascii="Arial" w:hAnsi="Arial" w:cs="Arial"/>
          <w:sz w:val="22"/>
          <w:szCs w:val="22"/>
        </w:rPr>
        <w:t>.</w:t>
      </w:r>
      <w:r w:rsidRPr="00AD2403">
        <w:rPr>
          <w:rFonts w:ascii="Arial" w:hAnsi="Arial" w:cs="Arial"/>
          <w:sz w:val="22"/>
          <w:szCs w:val="22"/>
        </w:rPr>
        <w:tab/>
      </w:r>
      <w:r w:rsidRPr="00AD2403">
        <w:rPr>
          <w:rFonts w:ascii="Arial" w:hAnsi="Arial" w:cs="Arial"/>
          <w:sz w:val="22"/>
          <w:szCs w:val="22"/>
          <w:u w:val="single"/>
        </w:rPr>
        <w:t>THREAT LEVELS</w:t>
      </w:r>
      <w:r w:rsidRPr="00AD2403">
        <w:rPr>
          <w:rFonts w:ascii="Arial" w:hAnsi="Arial" w:cs="Arial"/>
          <w:sz w:val="22"/>
          <w:szCs w:val="22"/>
        </w:rPr>
        <w:t>.</w:t>
      </w:r>
    </w:p>
    <w:p w14:paraId="13D2A137" w14:textId="77777777" w:rsidR="00364953" w:rsidRPr="00AD2403" w:rsidRDefault="00364953" w:rsidP="00364953">
      <w:pPr>
        <w:keepNext/>
        <w:keepLines/>
        <w:jc w:val="both"/>
        <w:rPr>
          <w:rFonts w:ascii="Arial" w:hAnsi="Arial" w:cs="Arial"/>
          <w:sz w:val="22"/>
          <w:szCs w:val="22"/>
          <w:u w:val="single"/>
        </w:rPr>
      </w:pPr>
    </w:p>
    <w:p w14:paraId="13D2A138" w14:textId="77777777" w:rsidR="00364953" w:rsidRPr="00AD2403" w:rsidRDefault="00364953" w:rsidP="00364953">
      <w:pPr>
        <w:ind w:left="720" w:firstLine="720"/>
        <w:jc w:val="both"/>
        <w:rPr>
          <w:rFonts w:ascii="Arial" w:hAnsi="Arial" w:cs="Arial"/>
          <w:sz w:val="22"/>
          <w:szCs w:val="22"/>
        </w:rPr>
      </w:pPr>
      <w:r w:rsidRPr="00AD2403">
        <w:rPr>
          <w:rFonts w:ascii="Arial" w:hAnsi="Arial" w:cs="Arial"/>
          <w:sz w:val="22"/>
          <w:szCs w:val="22"/>
        </w:rPr>
        <w:t>1.</w:t>
      </w:r>
      <w:r w:rsidRPr="00AD2403">
        <w:rPr>
          <w:rFonts w:ascii="Arial" w:hAnsi="Arial" w:cs="Arial"/>
          <w:sz w:val="22"/>
          <w:szCs w:val="22"/>
        </w:rPr>
        <w:tab/>
      </w:r>
      <w:r w:rsidRPr="00AD2403">
        <w:rPr>
          <w:rFonts w:ascii="Arial" w:hAnsi="Arial" w:cs="Arial"/>
          <w:b/>
          <w:color w:val="FF0000"/>
          <w:sz w:val="22"/>
          <w:szCs w:val="22"/>
        </w:rPr>
        <w:t>RED</w:t>
      </w:r>
      <w:r w:rsidRPr="00AD2403">
        <w:rPr>
          <w:rFonts w:ascii="Arial" w:hAnsi="Arial" w:cs="Arial"/>
          <w:sz w:val="22"/>
          <w:szCs w:val="22"/>
        </w:rPr>
        <w:t xml:space="preserve"> – A data privacy incident where mission critical systems or resources are at risk, or after determination that confidential information, </w:t>
      </w:r>
      <w:r w:rsidR="0092275F">
        <w:rPr>
          <w:rFonts w:ascii="Arial" w:hAnsi="Arial" w:cs="Arial"/>
          <w:sz w:val="22"/>
          <w:szCs w:val="22"/>
        </w:rPr>
        <w:t>PII</w:t>
      </w:r>
      <w:r w:rsidRPr="00AD2403">
        <w:rPr>
          <w:rFonts w:ascii="Arial" w:hAnsi="Arial" w:cs="Arial"/>
          <w:sz w:val="22"/>
          <w:szCs w:val="22"/>
        </w:rPr>
        <w:t xml:space="preserve"> or PHI was, in fact, accessed, acquired, used or disclosed.</w:t>
      </w:r>
    </w:p>
    <w:p w14:paraId="13D2A139" w14:textId="77777777" w:rsidR="00364953" w:rsidRPr="00AD2403" w:rsidRDefault="00364953" w:rsidP="00364953">
      <w:pPr>
        <w:ind w:left="720" w:firstLine="720"/>
        <w:jc w:val="both"/>
        <w:rPr>
          <w:rFonts w:ascii="Arial" w:hAnsi="Arial" w:cs="Arial"/>
          <w:sz w:val="22"/>
          <w:szCs w:val="22"/>
        </w:rPr>
      </w:pPr>
    </w:p>
    <w:p w14:paraId="13D2A13A" w14:textId="77777777" w:rsidR="00364953" w:rsidRPr="00AD2403" w:rsidRDefault="00364953" w:rsidP="00364953">
      <w:pPr>
        <w:ind w:left="720" w:firstLine="720"/>
        <w:jc w:val="both"/>
        <w:rPr>
          <w:rFonts w:ascii="Arial" w:hAnsi="Arial" w:cs="Arial"/>
          <w:sz w:val="22"/>
          <w:szCs w:val="22"/>
        </w:rPr>
      </w:pPr>
      <w:r w:rsidRPr="00AD2403">
        <w:rPr>
          <w:rFonts w:ascii="Arial" w:hAnsi="Arial" w:cs="Arial"/>
          <w:sz w:val="22"/>
          <w:szCs w:val="22"/>
        </w:rPr>
        <w:t>2.</w:t>
      </w:r>
      <w:r w:rsidRPr="00AD2403">
        <w:rPr>
          <w:rFonts w:ascii="Arial" w:hAnsi="Arial" w:cs="Arial"/>
          <w:sz w:val="22"/>
          <w:szCs w:val="22"/>
        </w:rPr>
        <w:tab/>
      </w:r>
      <w:r w:rsidRPr="00AD2403">
        <w:rPr>
          <w:rFonts w:ascii="Arial" w:hAnsi="Arial" w:cs="Arial"/>
          <w:b/>
          <w:color w:val="E3DE00"/>
          <w:sz w:val="22"/>
          <w:szCs w:val="22"/>
        </w:rPr>
        <w:t>YELLOW</w:t>
      </w:r>
      <w:r w:rsidRPr="00AD2403">
        <w:rPr>
          <w:rFonts w:ascii="Arial" w:hAnsi="Arial" w:cs="Arial"/>
          <w:color w:val="FFFF00"/>
          <w:sz w:val="22"/>
          <w:szCs w:val="22"/>
        </w:rPr>
        <w:t xml:space="preserve"> </w:t>
      </w:r>
      <w:r w:rsidRPr="00AD2403">
        <w:rPr>
          <w:rFonts w:ascii="Arial" w:hAnsi="Arial" w:cs="Arial"/>
          <w:sz w:val="22"/>
          <w:szCs w:val="22"/>
        </w:rPr>
        <w:t xml:space="preserve">– A data privacy incident where mission critical systems or resources may be at risk, if confidential information, </w:t>
      </w:r>
      <w:r w:rsidR="0092275F">
        <w:rPr>
          <w:rFonts w:ascii="Arial" w:hAnsi="Arial" w:cs="Arial"/>
          <w:sz w:val="22"/>
          <w:szCs w:val="22"/>
        </w:rPr>
        <w:t>PII</w:t>
      </w:r>
      <w:r w:rsidRPr="00AD2403">
        <w:rPr>
          <w:rFonts w:ascii="Arial" w:hAnsi="Arial" w:cs="Arial"/>
          <w:sz w:val="22"/>
          <w:szCs w:val="22"/>
        </w:rPr>
        <w:t xml:space="preserve"> or PHI may have been accessed, acquired, used or disclosed.</w:t>
      </w:r>
    </w:p>
    <w:p w14:paraId="13D2A13B" w14:textId="77777777" w:rsidR="00364953" w:rsidRPr="00AD2403" w:rsidRDefault="00364953" w:rsidP="00364953">
      <w:pPr>
        <w:ind w:left="720" w:firstLine="720"/>
        <w:jc w:val="both"/>
        <w:rPr>
          <w:rFonts w:ascii="Arial" w:hAnsi="Arial" w:cs="Arial"/>
          <w:sz w:val="22"/>
          <w:szCs w:val="22"/>
        </w:rPr>
      </w:pPr>
    </w:p>
    <w:p w14:paraId="13D2A13C" w14:textId="77777777" w:rsidR="00364953" w:rsidRPr="00AD2403" w:rsidRDefault="00364953" w:rsidP="00364953">
      <w:pPr>
        <w:ind w:left="720" w:firstLine="720"/>
        <w:jc w:val="both"/>
        <w:rPr>
          <w:rFonts w:ascii="Arial" w:hAnsi="Arial" w:cs="Arial"/>
          <w:sz w:val="22"/>
          <w:szCs w:val="22"/>
        </w:rPr>
      </w:pPr>
      <w:r w:rsidRPr="00AD2403">
        <w:rPr>
          <w:rFonts w:ascii="Arial" w:hAnsi="Arial" w:cs="Arial"/>
          <w:sz w:val="22"/>
          <w:szCs w:val="22"/>
        </w:rPr>
        <w:t>3.</w:t>
      </w:r>
      <w:r w:rsidRPr="00AD2403">
        <w:rPr>
          <w:rFonts w:ascii="Arial" w:hAnsi="Arial" w:cs="Arial"/>
          <w:sz w:val="22"/>
          <w:szCs w:val="22"/>
        </w:rPr>
        <w:tab/>
      </w:r>
      <w:r w:rsidRPr="00AD2403">
        <w:rPr>
          <w:rFonts w:ascii="Arial" w:hAnsi="Arial" w:cs="Arial"/>
          <w:b/>
          <w:color w:val="00B050"/>
          <w:sz w:val="22"/>
          <w:szCs w:val="22"/>
        </w:rPr>
        <w:t>GREEN</w:t>
      </w:r>
      <w:r w:rsidRPr="00AD2403">
        <w:rPr>
          <w:rFonts w:ascii="Arial" w:hAnsi="Arial" w:cs="Arial"/>
          <w:color w:val="00B050"/>
          <w:sz w:val="22"/>
          <w:szCs w:val="22"/>
        </w:rPr>
        <w:t xml:space="preserve"> </w:t>
      </w:r>
      <w:r w:rsidRPr="00AD2403">
        <w:rPr>
          <w:rFonts w:ascii="Arial" w:hAnsi="Arial" w:cs="Arial"/>
          <w:sz w:val="22"/>
          <w:szCs w:val="22"/>
        </w:rPr>
        <w:t xml:space="preserve">– A data privacy incident where mission critical systems or resources are not at risk, and no confidential information, </w:t>
      </w:r>
      <w:r w:rsidR="0092275F">
        <w:rPr>
          <w:rFonts w:ascii="Arial" w:hAnsi="Arial" w:cs="Arial"/>
          <w:sz w:val="22"/>
          <w:szCs w:val="22"/>
        </w:rPr>
        <w:t>PII</w:t>
      </w:r>
      <w:r w:rsidRPr="00AD2403">
        <w:rPr>
          <w:rFonts w:ascii="Arial" w:hAnsi="Arial" w:cs="Arial"/>
          <w:sz w:val="22"/>
          <w:szCs w:val="22"/>
        </w:rPr>
        <w:t xml:space="preserve"> or PHI has been accessed, acquired, used or disclosed.</w:t>
      </w:r>
    </w:p>
    <w:p w14:paraId="13D2A13D" w14:textId="77777777" w:rsidR="00364953" w:rsidRDefault="00364953" w:rsidP="00A8047E">
      <w:pPr>
        <w:ind w:firstLine="720"/>
        <w:jc w:val="both"/>
        <w:rPr>
          <w:rFonts w:ascii="Arial" w:hAnsi="Arial" w:cs="Arial"/>
          <w:sz w:val="22"/>
          <w:szCs w:val="22"/>
        </w:rPr>
      </w:pPr>
    </w:p>
    <w:p w14:paraId="13D2A13E" w14:textId="77777777" w:rsidR="00364953" w:rsidRDefault="00364953" w:rsidP="00A8047E">
      <w:pPr>
        <w:ind w:firstLine="720"/>
        <w:jc w:val="both"/>
        <w:rPr>
          <w:rFonts w:ascii="Arial" w:hAnsi="Arial" w:cs="Arial"/>
          <w:sz w:val="22"/>
          <w:szCs w:val="22"/>
        </w:rPr>
      </w:pPr>
    </w:p>
    <w:p w14:paraId="13D2A13F" w14:textId="77777777" w:rsidR="006521D5" w:rsidRDefault="006521D5" w:rsidP="00A8047E">
      <w:pPr>
        <w:ind w:firstLine="720"/>
        <w:jc w:val="both"/>
        <w:rPr>
          <w:rFonts w:ascii="Arial" w:hAnsi="Arial" w:cs="Arial"/>
          <w:sz w:val="22"/>
          <w:szCs w:val="22"/>
        </w:rPr>
      </w:pPr>
    </w:p>
    <w:p w14:paraId="13D2A140" w14:textId="77777777" w:rsidR="00A8047E" w:rsidRPr="00A966E4" w:rsidRDefault="009751DD" w:rsidP="00A8047E">
      <w:pPr>
        <w:ind w:firstLine="720"/>
        <w:jc w:val="both"/>
        <w:rPr>
          <w:rFonts w:ascii="Arial" w:hAnsi="Arial" w:cs="Arial"/>
          <w:b/>
          <w:sz w:val="22"/>
          <w:szCs w:val="22"/>
        </w:rPr>
      </w:pPr>
      <w:r>
        <w:rPr>
          <w:rFonts w:ascii="Arial" w:hAnsi="Arial" w:cs="Arial"/>
          <w:sz w:val="22"/>
          <w:szCs w:val="22"/>
        </w:rPr>
        <w:t>C</w:t>
      </w:r>
      <w:r w:rsidR="00A8047E" w:rsidRPr="00A966E4">
        <w:rPr>
          <w:rFonts w:ascii="Arial" w:hAnsi="Arial" w:cs="Arial"/>
          <w:sz w:val="22"/>
          <w:szCs w:val="22"/>
        </w:rPr>
        <w:t>.</w:t>
      </w:r>
      <w:r w:rsidR="00A8047E" w:rsidRPr="00A966E4">
        <w:rPr>
          <w:rFonts w:ascii="Arial" w:hAnsi="Arial" w:cs="Arial"/>
          <w:b/>
          <w:sz w:val="22"/>
          <w:szCs w:val="22"/>
        </w:rPr>
        <w:tab/>
      </w:r>
      <w:r w:rsidR="00A8047E" w:rsidRPr="00A966E4">
        <w:rPr>
          <w:rFonts w:ascii="Arial" w:hAnsi="Arial" w:cs="Arial"/>
          <w:caps/>
          <w:sz w:val="22"/>
          <w:szCs w:val="22"/>
          <w:u w:val="single"/>
        </w:rPr>
        <w:t>DATA BREACH RESPONSE POLICY</w:t>
      </w:r>
      <w:r w:rsidR="00A53D20" w:rsidRPr="00A966E4">
        <w:rPr>
          <w:rFonts w:ascii="Arial" w:hAnsi="Arial" w:cs="Arial"/>
          <w:caps/>
          <w:sz w:val="22"/>
          <w:szCs w:val="22"/>
        </w:rPr>
        <w:t xml:space="preserve">.  </w:t>
      </w:r>
      <w:r w:rsidR="00A53D20" w:rsidRPr="00A966E4">
        <w:rPr>
          <w:rFonts w:ascii="Arial" w:hAnsi="Arial" w:cs="Arial"/>
          <w:sz w:val="22"/>
          <w:szCs w:val="22"/>
        </w:rPr>
        <w:t xml:space="preserve">In the event of a data breach involving </w:t>
      </w:r>
      <w:r w:rsidR="0092275F">
        <w:rPr>
          <w:rFonts w:ascii="Arial" w:hAnsi="Arial" w:cs="Arial"/>
          <w:sz w:val="22"/>
          <w:szCs w:val="22"/>
        </w:rPr>
        <w:t>PII</w:t>
      </w:r>
      <w:r w:rsidR="00A53D20" w:rsidRPr="00A966E4">
        <w:rPr>
          <w:rFonts w:ascii="Arial" w:hAnsi="Arial" w:cs="Arial"/>
          <w:sz w:val="22"/>
          <w:szCs w:val="22"/>
        </w:rPr>
        <w:t xml:space="preserve"> and/or PHI, the </w:t>
      </w:r>
      <w:r w:rsidR="00A64C9D">
        <w:rPr>
          <w:rFonts w:ascii="Arial" w:hAnsi="Arial" w:cs="Arial"/>
          <w:sz w:val="22"/>
          <w:szCs w:val="22"/>
        </w:rPr>
        <w:t>Organization</w:t>
      </w:r>
      <w:r w:rsidR="00A53D20" w:rsidRPr="00A966E4">
        <w:rPr>
          <w:rFonts w:ascii="Arial" w:hAnsi="Arial" w:cs="Arial"/>
          <w:sz w:val="22"/>
          <w:szCs w:val="22"/>
        </w:rPr>
        <w:t xml:space="preserve"> shall execute the following procedures, at a </w:t>
      </w:r>
      <w:r w:rsidR="008F3FB2" w:rsidRPr="00A966E4">
        <w:rPr>
          <w:rFonts w:ascii="Arial" w:hAnsi="Arial" w:cs="Arial"/>
          <w:sz w:val="22"/>
          <w:szCs w:val="22"/>
        </w:rPr>
        <w:t>minimum</w:t>
      </w:r>
      <w:r w:rsidR="00A53D20" w:rsidRPr="00A966E4">
        <w:rPr>
          <w:rFonts w:ascii="Arial" w:hAnsi="Arial" w:cs="Arial"/>
          <w:sz w:val="22"/>
          <w:szCs w:val="22"/>
        </w:rPr>
        <w:t>:</w:t>
      </w:r>
    </w:p>
    <w:p w14:paraId="13D2A141" w14:textId="77777777" w:rsidR="0066558B" w:rsidRPr="00AD2403" w:rsidRDefault="0066558B" w:rsidP="00A8047E">
      <w:pPr>
        <w:jc w:val="both"/>
        <w:rPr>
          <w:rFonts w:ascii="Arial" w:hAnsi="Arial" w:cs="Arial"/>
          <w:b/>
          <w:sz w:val="22"/>
          <w:szCs w:val="22"/>
        </w:rPr>
      </w:pPr>
    </w:p>
    <w:p w14:paraId="13D2A142" w14:textId="77777777" w:rsidR="00A53D20" w:rsidRPr="00A966E4" w:rsidRDefault="00A53D20" w:rsidP="00A53D20">
      <w:pPr>
        <w:ind w:left="720" w:firstLine="720"/>
        <w:jc w:val="both"/>
        <w:rPr>
          <w:rFonts w:ascii="Arial" w:hAnsi="Arial" w:cs="Arial"/>
          <w:sz w:val="22"/>
          <w:szCs w:val="22"/>
        </w:rPr>
      </w:pPr>
      <w:r w:rsidRPr="00A966E4">
        <w:rPr>
          <w:rFonts w:ascii="Arial" w:hAnsi="Arial" w:cs="Arial"/>
          <w:sz w:val="22"/>
          <w:szCs w:val="22"/>
        </w:rPr>
        <w:t>1.</w:t>
      </w:r>
      <w:r w:rsidRPr="00A966E4">
        <w:rPr>
          <w:rFonts w:ascii="Arial" w:hAnsi="Arial" w:cs="Arial"/>
          <w:sz w:val="22"/>
          <w:szCs w:val="22"/>
        </w:rPr>
        <w:tab/>
      </w:r>
      <w:r w:rsidRPr="00A966E4">
        <w:rPr>
          <w:rFonts w:ascii="Arial" w:hAnsi="Arial" w:cs="Arial"/>
          <w:b/>
          <w:sz w:val="22"/>
          <w:szCs w:val="22"/>
        </w:rPr>
        <w:t>Containment</w:t>
      </w:r>
      <w:r w:rsidRPr="00A966E4">
        <w:rPr>
          <w:rFonts w:ascii="Arial" w:hAnsi="Arial" w:cs="Arial"/>
          <w:sz w:val="22"/>
          <w:szCs w:val="22"/>
        </w:rPr>
        <w:t xml:space="preserve"> </w:t>
      </w:r>
      <w:r w:rsidR="009B22A0" w:rsidRPr="00A966E4">
        <w:rPr>
          <w:rFonts w:ascii="Arial" w:hAnsi="Arial" w:cs="Arial"/>
          <w:sz w:val="22"/>
          <w:szCs w:val="22"/>
        </w:rPr>
        <w:t xml:space="preserve">– </w:t>
      </w:r>
      <w:r w:rsidRPr="00A966E4">
        <w:rPr>
          <w:rFonts w:ascii="Arial" w:hAnsi="Arial" w:cs="Arial"/>
          <w:sz w:val="22"/>
          <w:szCs w:val="22"/>
        </w:rPr>
        <w:t xml:space="preserve">The first priority after a data </w:t>
      </w:r>
      <w:r w:rsidR="009139AC" w:rsidRPr="00A966E4">
        <w:rPr>
          <w:rFonts w:ascii="Arial" w:hAnsi="Arial" w:cs="Arial"/>
          <w:sz w:val="22"/>
          <w:szCs w:val="22"/>
        </w:rPr>
        <w:t>privacy incident</w:t>
      </w:r>
      <w:r w:rsidRPr="00A966E4">
        <w:rPr>
          <w:rFonts w:ascii="Arial" w:hAnsi="Arial" w:cs="Arial"/>
          <w:sz w:val="22"/>
          <w:szCs w:val="22"/>
        </w:rPr>
        <w:t xml:space="preserve"> is discovered is to contain the </w:t>
      </w:r>
      <w:r w:rsidR="009139AC" w:rsidRPr="00A966E4">
        <w:rPr>
          <w:rFonts w:ascii="Arial" w:hAnsi="Arial" w:cs="Arial"/>
          <w:sz w:val="22"/>
          <w:szCs w:val="22"/>
        </w:rPr>
        <w:t>incident</w:t>
      </w:r>
      <w:r w:rsidRPr="00A966E4">
        <w:rPr>
          <w:rFonts w:ascii="Arial" w:hAnsi="Arial" w:cs="Arial"/>
          <w:sz w:val="22"/>
          <w:szCs w:val="22"/>
        </w:rPr>
        <w:t xml:space="preserve"> and notify supervisory personnel as quickly as possible. For any </w:t>
      </w:r>
      <w:r w:rsidRPr="00A966E4">
        <w:rPr>
          <w:rFonts w:ascii="Arial" w:hAnsi="Arial" w:cs="Arial"/>
          <w:sz w:val="22"/>
          <w:szCs w:val="22"/>
        </w:rPr>
        <w:lastRenderedPageBreak/>
        <w:t xml:space="preserve">category of </w:t>
      </w:r>
      <w:r w:rsidR="009139AC" w:rsidRPr="00A966E4">
        <w:rPr>
          <w:rFonts w:ascii="Arial" w:hAnsi="Arial" w:cs="Arial"/>
          <w:sz w:val="22"/>
          <w:szCs w:val="22"/>
        </w:rPr>
        <w:t>data privacy incident</w:t>
      </w:r>
      <w:r w:rsidRPr="00A966E4">
        <w:rPr>
          <w:rFonts w:ascii="Arial" w:hAnsi="Arial" w:cs="Arial"/>
          <w:sz w:val="22"/>
          <w:szCs w:val="22"/>
        </w:rPr>
        <w:t xml:space="preserve">, the data must be secured, and the reasonable integrity, security and confidentiality of the data or data system must be restored.   </w:t>
      </w:r>
      <w:r w:rsidR="00A33D66" w:rsidRPr="00A966E4">
        <w:rPr>
          <w:rFonts w:ascii="Arial" w:hAnsi="Arial" w:cs="Arial"/>
          <w:sz w:val="22"/>
          <w:szCs w:val="22"/>
        </w:rPr>
        <w:t xml:space="preserve"> </w:t>
      </w:r>
    </w:p>
    <w:p w14:paraId="13D2A143" w14:textId="77777777" w:rsidR="00A53D20" w:rsidRPr="00A966E4" w:rsidRDefault="00A53D20" w:rsidP="00A53D20">
      <w:pPr>
        <w:ind w:left="720" w:firstLine="720"/>
        <w:jc w:val="both"/>
        <w:rPr>
          <w:rFonts w:ascii="Arial" w:hAnsi="Arial" w:cs="Arial"/>
          <w:sz w:val="22"/>
          <w:szCs w:val="22"/>
        </w:rPr>
      </w:pPr>
    </w:p>
    <w:p w14:paraId="13D2A144" w14:textId="77777777" w:rsidR="00A53D20" w:rsidRPr="00AB56FD" w:rsidRDefault="00A53D20" w:rsidP="00A53D20">
      <w:pPr>
        <w:ind w:left="720" w:firstLine="720"/>
        <w:jc w:val="both"/>
        <w:rPr>
          <w:rFonts w:ascii="Arial" w:hAnsi="Arial" w:cs="Arial"/>
          <w:sz w:val="22"/>
          <w:szCs w:val="22"/>
        </w:rPr>
      </w:pPr>
      <w:r w:rsidRPr="00A966E4">
        <w:rPr>
          <w:rFonts w:ascii="Arial" w:hAnsi="Arial" w:cs="Arial"/>
          <w:sz w:val="22"/>
          <w:szCs w:val="22"/>
        </w:rPr>
        <w:t>2.</w:t>
      </w:r>
      <w:r w:rsidRPr="00A966E4">
        <w:rPr>
          <w:rFonts w:ascii="Arial" w:hAnsi="Arial" w:cs="Arial"/>
          <w:sz w:val="22"/>
          <w:szCs w:val="22"/>
        </w:rPr>
        <w:tab/>
      </w:r>
      <w:r w:rsidRPr="00A966E4">
        <w:rPr>
          <w:rFonts w:ascii="Arial" w:hAnsi="Arial" w:cs="Arial"/>
          <w:b/>
          <w:sz w:val="22"/>
          <w:szCs w:val="22"/>
        </w:rPr>
        <w:t>Classification</w:t>
      </w:r>
      <w:r w:rsidRPr="00A966E4">
        <w:rPr>
          <w:rFonts w:ascii="Arial" w:hAnsi="Arial" w:cs="Arial"/>
          <w:sz w:val="22"/>
          <w:szCs w:val="22"/>
        </w:rPr>
        <w:t xml:space="preserve"> – The IRT shall immediately take steps to determine the exact nature of the </w:t>
      </w:r>
      <w:r w:rsidR="009139AC" w:rsidRPr="00A966E4">
        <w:rPr>
          <w:rFonts w:ascii="Arial" w:hAnsi="Arial" w:cs="Arial"/>
          <w:sz w:val="22"/>
          <w:szCs w:val="22"/>
        </w:rPr>
        <w:t>incident</w:t>
      </w:r>
      <w:r w:rsidRPr="00A966E4">
        <w:rPr>
          <w:rFonts w:ascii="Arial" w:hAnsi="Arial" w:cs="Arial"/>
          <w:sz w:val="22"/>
          <w:szCs w:val="22"/>
        </w:rPr>
        <w:t xml:space="preserve"> in terms of its extent and potential risk to persons whose data has been compromised and to </w:t>
      </w:r>
      <w:r w:rsidR="00A33D66" w:rsidRPr="00A966E4">
        <w:rPr>
          <w:rFonts w:ascii="Arial" w:hAnsi="Arial" w:cs="Arial"/>
          <w:sz w:val="22"/>
          <w:szCs w:val="22"/>
        </w:rPr>
        <w:t>the</w:t>
      </w:r>
      <w:r w:rsidRPr="00A966E4">
        <w:rPr>
          <w:rFonts w:ascii="Arial" w:hAnsi="Arial" w:cs="Arial"/>
          <w:sz w:val="22"/>
          <w:szCs w:val="22"/>
        </w:rPr>
        <w:t xml:space="preserve"> organization</w:t>
      </w:r>
      <w:r w:rsidR="00A33D66" w:rsidRPr="00A966E4">
        <w:rPr>
          <w:rFonts w:ascii="Arial" w:hAnsi="Arial" w:cs="Arial"/>
          <w:sz w:val="22"/>
          <w:szCs w:val="22"/>
        </w:rPr>
        <w:t>.  It is critical that external legal</w:t>
      </w:r>
      <w:r w:rsidR="00A33D66" w:rsidRPr="00AB56FD">
        <w:rPr>
          <w:rFonts w:ascii="Arial" w:hAnsi="Arial" w:cs="Arial"/>
          <w:sz w:val="22"/>
          <w:szCs w:val="22"/>
        </w:rPr>
        <w:t xml:space="preserve"> counsel be copied on all correspondence to maintain privilege.</w:t>
      </w:r>
    </w:p>
    <w:p w14:paraId="13D2A145" w14:textId="77777777" w:rsidR="00A53D20" w:rsidRPr="00AB56FD" w:rsidRDefault="00A53D20" w:rsidP="00A53D20">
      <w:pPr>
        <w:jc w:val="both"/>
        <w:rPr>
          <w:rFonts w:ascii="Arial" w:hAnsi="Arial" w:cs="Arial"/>
          <w:b/>
          <w:sz w:val="22"/>
          <w:szCs w:val="22"/>
        </w:rPr>
      </w:pPr>
      <w:r w:rsidRPr="00AB56FD">
        <w:rPr>
          <w:rFonts w:ascii="Arial" w:hAnsi="Arial" w:cs="Arial"/>
          <w:b/>
          <w:sz w:val="22"/>
          <w:szCs w:val="22"/>
        </w:rPr>
        <w:tab/>
      </w:r>
    </w:p>
    <w:p w14:paraId="13D2A146" w14:textId="77777777" w:rsidR="00A53D20" w:rsidRPr="00AB56FD" w:rsidRDefault="00A53D20" w:rsidP="00A53D20">
      <w:pPr>
        <w:ind w:left="720" w:firstLine="720"/>
        <w:jc w:val="both"/>
        <w:rPr>
          <w:rFonts w:ascii="Arial" w:hAnsi="Arial" w:cs="Arial"/>
          <w:sz w:val="22"/>
          <w:szCs w:val="22"/>
        </w:rPr>
      </w:pPr>
      <w:r w:rsidRPr="00AB56FD">
        <w:rPr>
          <w:rFonts w:ascii="Arial" w:hAnsi="Arial" w:cs="Arial"/>
          <w:sz w:val="22"/>
          <w:szCs w:val="22"/>
        </w:rPr>
        <w:t>3.</w:t>
      </w:r>
      <w:r w:rsidRPr="00AB56FD">
        <w:rPr>
          <w:rFonts w:ascii="Arial" w:hAnsi="Arial" w:cs="Arial"/>
          <w:sz w:val="22"/>
          <w:szCs w:val="22"/>
        </w:rPr>
        <w:tab/>
      </w:r>
      <w:r w:rsidRPr="00AB56FD">
        <w:rPr>
          <w:rFonts w:ascii="Arial" w:hAnsi="Arial" w:cs="Arial"/>
          <w:b/>
          <w:sz w:val="22"/>
          <w:szCs w:val="22"/>
        </w:rPr>
        <w:t>Internal Reporting of an Incident</w:t>
      </w:r>
      <w:r w:rsidRPr="00AB56FD">
        <w:rPr>
          <w:rFonts w:ascii="Arial" w:hAnsi="Arial" w:cs="Arial"/>
          <w:sz w:val="22"/>
          <w:szCs w:val="22"/>
        </w:rPr>
        <w:t xml:space="preserve"> – As soon as a privacy-related incident has been identified, the employee who discovered it must take immediate steps to report the breach to his or her supervisor. The supervisor must take immediate action to notify the </w:t>
      </w:r>
      <w:r w:rsidR="006C79F6" w:rsidRPr="00AB56FD">
        <w:rPr>
          <w:rFonts w:ascii="Arial" w:hAnsi="Arial" w:cs="Arial"/>
          <w:sz w:val="22"/>
          <w:szCs w:val="22"/>
        </w:rPr>
        <w:t>IRT L</w:t>
      </w:r>
      <w:r w:rsidRPr="00AB56FD">
        <w:rPr>
          <w:rFonts w:ascii="Arial" w:hAnsi="Arial" w:cs="Arial"/>
          <w:sz w:val="22"/>
          <w:szCs w:val="22"/>
        </w:rPr>
        <w:t>eader, to determine the extent and cause of the incident, and to take such further action as is necessary to contain a</w:t>
      </w:r>
      <w:r w:rsidR="009139AC">
        <w:rPr>
          <w:rFonts w:ascii="Arial" w:hAnsi="Arial" w:cs="Arial"/>
          <w:sz w:val="22"/>
          <w:szCs w:val="22"/>
        </w:rPr>
        <w:t xml:space="preserve"> data security incident</w:t>
      </w:r>
      <w:r w:rsidRPr="00AB56FD">
        <w:rPr>
          <w:rFonts w:ascii="Arial" w:hAnsi="Arial" w:cs="Arial"/>
          <w:sz w:val="22"/>
          <w:szCs w:val="22"/>
        </w:rPr>
        <w:t xml:space="preserve"> or recover the missing </w:t>
      </w:r>
      <w:r w:rsidR="0092275F">
        <w:rPr>
          <w:rFonts w:ascii="Arial" w:hAnsi="Arial" w:cs="Arial"/>
          <w:sz w:val="22"/>
          <w:szCs w:val="22"/>
        </w:rPr>
        <w:t>PII</w:t>
      </w:r>
      <w:r w:rsidR="006C79F6" w:rsidRPr="00AB56FD">
        <w:rPr>
          <w:rFonts w:ascii="Arial" w:hAnsi="Arial" w:cs="Arial"/>
          <w:sz w:val="22"/>
          <w:szCs w:val="22"/>
        </w:rPr>
        <w:t xml:space="preserve"> and/or PHI</w:t>
      </w:r>
      <w:r w:rsidRPr="00AB56FD">
        <w:rPr>
          <w:rFonts w:ascii="Arial" w:hAnsi="Arial" w:cs="Arial"/>
          <w:sz w:val="22"/>
          <w:szCs w:val="22"/>
        </w:rPr>
        <w:t xml:space="preserve">.  </w:t>
      </w:r>
      <w:r w:rsidR="00D77DF4">
        <w:rPr>
          <w:rFonts w:ascii="Arial" w:hAnsi="Arial" w:cs="Arial"/>
          <w:sz w:val="22"/>
          <w:szCs w:val="22"/>
        </w:rPr>
        <w:t>All incident reports and correspondence should be made to counsel</w:t>
      </w:r>
      <w:r w:rsidR="006B317F">
        <w:rPr>
          <w:rFonts w:ascii="Arial" w:hAnsi="Arial" w:cs="Arial"/>
          <w:sz w:val="22"/>
          <w:szCs w:val="22"/>
        </w:rPr>
        <w:t>’s attention</w:t>
      </w:r>
      <w:r w:rsidR="00D77DF4">
        <w:rPr>
          <w:rFonts w:ascii="Arial" w:hAnsi="Arial" w:cs="Arial"/>
          <w:sz w:val="22"/>
          <w:szCs w:val="22"/>
        </w:rPr>
        <w:t xml:space="preserve"> and indicated directly on the reporting documents themselves (</w:t>
      </w:r>
      <w:r w:rsidR="006B317F">
        <w:rPr>
          <w:rFonts w:ascii="Arial" w:hAnsi="Arial" w:cs="Arial"/>
          <w:sz w:val="22"/>
          <w:szCs w:val="22"/>
        </w:rPr>
        <w:t>to preserve attorney-client privilege).</w:t>
      </w:r>
    </w:p>
    <w:p w14:paraId="13D2A147" w14:textId="77777777" w:rsidR="006C79F6" w:rsidRPr="00AB56FD" w:rsidRDefault="006C79F6" w:rsidP="00A53D20">
      <w:pPr>
        <w:ind w:left="720" w:firstLine="720"/>
        <w:jc w:val="both"/>
        <w:rPr>
          <w:rFonts w:ascii="Arial" w:hAnsi="Arial" w:cs="Arial"/>
          <w:sz w:val="22"/>
          <w:szCs w:val="22"/>
        </w:rPr>
      </w:pPr>
    </w:p>
    <w:p w14:paraId="13D2A148" w14:textId="77777777" w:rsidR="00A53D20" w:rsidRDefault="006C79F6" w:rsidP="006C79F6">
      <w:pPr>
        <w:ind w:left="720" w:firstLine="720"/>
        <w:jc w:val="both"/>
        <w:rPr>
          <w:rFonts w:ascii="Arial" w:hAnsi="Arial" w:cs="Arial"/>
          <w:sz w:val="22"/>
          <w:szCs w:val="22"/>
        </w:rPr>
      </w:pPr>
      <w:r w:rsidRPr="00AB56FD">
        <w:rPr>
          <w:rFonts w:ascii="Arial" w:hAnsi="Arial" w:cs="Arial"/>
          <w:sz w:val="22"/>
          <w:szCs w:val="22"/>
        </w:rPr>
        <w:t>4.</w:t>
      </w:r>
      <w:r w:rsidRPr="00AB56FD">
        <w:rPr>
          <w:rFonts w:ascii="Arial" w:hAnsi="Arial" w:cs="Arial"/>
          <w:sz w:val="22"/>
          <w:szCs w:val="22"/>
        </w:rPr>
        <w:tab/>
      </w:r>
      <w:r w:rsidRPr="00AB56FD">
        <w:rPr>
          <w:rFonts w:ascii="Arial" w:hAnsi="Arial" w:cs="Arial"/>
          <w:b/>
          <w:sz w:val="22"/>
          <w:szCs w:val="22"/>
        </w:rPr>
        <w:t>Documentation</w:t>
      </w:r>
      <w:r w:rsidRPr="00AB56FD">
        <w:rPr>
          <w:rFonts w:ascii="Arial" w:hAnsi="Arial" w:cs="Arial"/>
          <w:sz w:val="22"/>
          <w:szCs w:val="22"/>
        </w:rPr>
        <w:t xml:space="preserve"> – The IRT, together with the supervisor reporting a data privacy-related incident (where applicable), must document </w:t>
      </w:r>
      <w:r w:rsidR="009139AC">
        <w:rPr>
          <w:rFonts w:ascii="Arial" w:hAnsi="Arial" w:cs="Arial"/>
          <w:sz w:val="22"/>
          <w:szCs w:val="22"/>
        </w:rPr>
        <w:t>the incident</w:t>
      </w:r>
      <w:r w:rsidRPr="00AB56FD">
        <w:rPr>
          <w:rFonts w:ascii="Arial" w:hAnsi="Arial" w:cs="Arial"/>
          <w:sz w:val="22"/>
          <w:szCs w:val="22"/>
        </w:rPr>
        <w:t xml:space="preserve">, noting the categories of information involved, the scope of the </w:t>
      </w:r>
      <w:r w:rsidR="009139AC">
        <w:rPr>
          <w:rFonts w:ascii="Arial" w:hAnsi="Arial" w:cs="Arial"/>
          <w:sz w:val="22"/>
          <w:szCs w:val="22"/>
        </w:rPr>
        <w:t>incident</w:t>
      </w:r>
      <w:r w:rsidRPr="00AB56FD">
        <w:rPr>
          <w:rFonts w:ascii="Arial" w:hAnsi="Arial" w:cs="Arial"/>
          <w:sz w:val="22"/>
          <w:szCs w:val="22"/>
        </w:rPr>
        <w:t xml:space="preserve">, steps taken to contain the </w:t>
      </w:r>
      <w:r w:rsidR="009139AC">
        <w:rPr>
          <w:rFonts w:ascii="Arial" w:hAnsi="Arial" w:cs="Arial"/>
          <w:sz w:val="22"/>
          <w:szCs w:val="22"/>
        </w:rPr>
        <w:t>incident</w:t>
      </w:r>
      <w:r w:rsidRPr="00AB56FD">
        <w:rPr>
          <w:rFonts w:ascii="Arial" w:hAnsi="Arial" w:cs="Arial"/>
          <w:sz w:val="22"/>
          <w:szCs w:val="22"/>
        </w:rPr>
        <w:t xml:space="preserve">, and the names or categories of persons whose </w:t>
      </w:r>
      <w:r w:rsidR="0092275F">
        <w:rPr>
          <w:rFonts w:ascii="Arial" w:hAnsi="Arial" w:cs="Arial"/>
          <w:sz w:val="22"/>
          <w:szCs w:val="22"/>
        </w:rPr>
        <w:t>PII</w:t>
      </w:r>
      <w:r w:rsidR="00B01C35">
        <w:rPr>
          <w:rFonts w:ascii="Arial" w:hAnsi="Arial" w:cs="Arial"/>
          <w:sz w:val="22"/>
          <w:szCs w:val="22"/>
        </w:rPr>
        <w:t>/PHI</w:t>
      </w:r>
      <w:r w:rsidRPr="00AB56FD">
        <w:rPr>
          <w:rFonts w:ascii="Arial" w:hAnsi="Arial" w:cs="Arial"/>
          <w:sz w:val="22"/>
          <w:szCs w:val="22"/>
        </w:rPr>
        <w:t xml:space="preserve"> was, or may have been, acquired by an unauthorized person. </w:t>
      </w:r>
      <w:r w:rsidR="00A53D20" w:rsidRPr="00AB56FD">
        <w:rPr>
          <w:rFonts w:ascii="Arial" w:hAnsi="Arial" w:cs="Arial"/>
          <w:sz w:val="22"/>
          <w:szCs w:val="22"/>
        </w:rPr>
        <w:t>All members of the IRT must take care to document all actions taken, by whom, and the exact time and date.</w:t>
      </w:r>
      <w:r w:rsidRPr="00AB56FD">
        <w:rPr>
          <w:rFonts w:ascii="Arial" w:hAnsi="Arial" w:cs="Arial"/>
          <w:sz w:val="22"/>
          <w:szCs w:val="22"/>
        </w:rPr>
        <w:t xml:space="preserve">  </w:t>
      </w:r>
      <w:r w:rsidR="00A53D20" w:rsidRPr="00AB56FD">
        <w:rPr>
          <w:rFonts w:ascii="Arial" w:hAnsi="Arial" w:cs="Arial"/>
          <w:sz w:val="22"/>
          <w:szCs w:val="22"/>
        </w:rPr>
        <w:t>Record all forensic to</w:t>
      </w:r>
      <w:r w:rsidRPr="00AB56FD">
        <w:rPr>
          <w:rFonts w:ascii="Arial" w:hAnsi="Arial" w:cs="Arial"/>
          <w:sz w:val="22"/>
          <w:szCs w:val="22"/>
        </w:rPr>
        <w:t xml:space="preserve">ols used in the investigation. </w:t>
      </w:r>
      <w:r w:rsidR="00C13F2D">
        <w:rPr>
          <w:rFonts w:ascii="Arial" w:hAnsi="Arial" w:cs="Arial"/>
          <w:sz w:val="22"/>
          <w:szCs w:val="22"/>
        </w:rPr>
        <w:t xml:space="preserve">Document all written notices made, web postings, communication plans and escalation records from the call center. </w:t>
      </w:r>
      <w:r w:rsidR="009139AC">
        <w:rPr>
          <w:rFonts w:ascii="Arial" w:hAnsi="Arial" w:cs="Arial"/>
          <w:sz w:val="22"/>
          <w:szCs w:val="22"/>
        </w:rPr>
        <w:t>This documentation is an ongoing obligation until the matter is concluded.</w:t>
      </w:r>
    </w:p>
    <w:p w14:paraId="13D2A149" w14:textId="77777777" w:rsidR="009139AC" w:rsidRDefault="009139AC" w:rsidP="006C79F6">
      <w:pPr>
        <w:ind w:left="720" w:firstLine="720"/>
        <w:jc w:val="both"/>
        <w:rPr>
          <w:rFonts w:ascii="Arial" w:hAnsi="Arial" w:cs="Arial"/>
          <w:sz w:val="22"/>
          <w:szCs w:val="22"/>
        </w:rPr>
      </w:pPr>
    </w:p>
    <w:p w14:paraId="13D2A14A" w14:textId="77777777" w:rsidR="009139AC" w:rsidRDefault="009139AC">
      <w:pPr>
        <w:ind w:left="720" w:firstLine="720"/>
        <w:jc w:val="both"/>
        <w:rPr>
          <w:rFonts w:ascii="Arial" w:hAnsi="Arial" w:cs="Arial"/>
          <w:sz w:val="22"/>
          <w:szCs w:val="22"/>
        </w:rPr>
      </w:pPr>
      <w:r>
        <w:rPr>
          <w:rFonts w:ascii="Arial" w:hAnsi="Arial" w:cs="Arial"/>
          <w:sz w:val="22"/>
          <w:szCs w:val="22"/>
        </w:rPr>
        <w:t>5.</w:t>
      </w:r>
      <w:r>
        <w:rPr>
          <w:rFonts w:ascii="Arial" w:hAnsi="Arial" w:cs="Arial"/>
          <w:sz w:val="22"/>
          <w:szCs w:val="22"/>
        </w:rPr>
        <w:tab/>
      </w:r>
      <w:r w:rsidRPr="009139AC">
        <w:rPr>
          <w:rFonts w:ascii="Arial" w:hAnsi="Arial" w:cs="Arial"/>
          <w:b/>
          <w:sz w:val="22"/>
          <w:szCs w:val="22"/>
        </w:rPr>
        <w:t xml:space="preserve">Determination if Incident </w:t>
      </w:r>
      <w:r w:rsidR="00B01C35">
        <w:rPr>
          <w:rFonts w:ascii="Arial" w:hAnsi="Arial" w:cs="Arial"/>
          <w:b/>
          <w:sz w:val="22"/>
          <w:szCs w:val="22"/>
        </w:rPr>
        <w:t xml:space="preserve">Constitutes </w:t>
      </w:r>
      <w:r w:rsidRPr="009139AC">
        <w:rPr>
          <w:rFonts w:ascii="Arial" w:hAnsi="Arial" w:cs="Arial"/>
          <w:b/>
          <w:sz w:val="22"/>
          <w:szCs w:val="22"/>
        </w:rPr>
        <w:t>a Breach</w:t>
      </w:r>
      <w:r w:rsidR="00B01C35">
        <w:rPr>
          <w:rFonts w:ascii="Arial" w:hAnsi="Arial" w:cs="Arial"/>
          <w:sz w:val="22"/>
          <w:szCs w:val="22"/>
        </w:rPr>
        <w:t xml:space="preserve"> – </w:t>
      </w:r>
      <w:r>
        <w:rPr>
          <w:rFonts w:ascii="Arial" w:hAnsi="Arial" w:cs="Arial"/>
          <w:sz w:val="22"/>
          <w:szCs w:val="22"/>
        </w:rPr>
        <w:t>The IRT</w:t>
      </w:r>
      <w:r w:rsidR="00715562">
        <w:rPr>
          <w:rFonts w:ascii="Arial" w:hAnsi="Arial" w:cs="Arial"/>
          <w:sz w:val="22"/>
          <w:szCs w:val="22"/>
        </w:rPr>
        <w:t>,</w:t>
      </w:r>
      <w:r>
        <w:rPr>
          <w:rFonts w:ascii="Arial" w:hAnsi="Arial" w:cs="Arial"/>
          <w:sz w:val="22"/>
          <w:szCs w:val="22"/>
        </w:rPr>
        <w:t xml:space="preserve"> in conjunction with counsel</w:t>
      </w:r>
      <w:r w:rsidR="00715562">
        <w:rPr>
          <w:rFonts w:ascii="Arial" w:hAnsi="Arial" w:cs="Arial"/>
          <w:sz w:val="22"/>
          <w:szCs w:val="22"/>
        </w:rPr>
        <w:t>,</w:t>
      </w:r>
      <w:r>
        <w:rPr>
          <w:rFonts w:ascii="Arial" w:hAnsi="Arial" w:cs="Arial"/>
          <w:sz w:val="22"/>
          <w:szCs w:val="22"/>
        </w:rPr>
        <w:t xml:space="preserve"> will determine, based on the facts and applicable law, if the data privacy incident rises to the level of a breach.</w:t>
      </w:r>
      <w:r w:rsidR="00744295">
        <w:rPr>
          <w:rFonts w:ascii="Arial" w:hAnsi="Arial" w:cs="Arial"/>
          <w:sz w:val="22"/>
          <w:szCs w:val="22"/>
        </w:rPr>
        <w:t xml:space="preserve">  This process includes conducting a risk assessment and evaluating the risk of harm thresholds (set forth above).</w:t>
      </w:r>
      <w:r>
        <w:rPr>
          <w:rFonts w:ascii="Arial" w:hAnsi="Arial" w:cs="Arial"/>
          <w:sz w:val="22"/>
          <w:szCs w:val="22"/>
        </w:rPr>
        <w:t xml:space="preserve">  If so, counsel will work with the IRT to determine the extent of reporting</w:t>
      </w:r>
      <w:r w:rsidR="00EB0765">
        <w:rPr>
          <w:rFonts w:ascii="Arial" w:hAnsi="Arial" w:cs="Arial"/>
          <w:sz w:val="22"/>
          <w:szCs w:val="22"/>
        </w:rPr>
        <w:t>/notification</w:t>
      </w:r>
      <w:r>
        <w:rPr>
          <w:rFonts w:ascii="Arial" w:hAnsi="Arial" w:cs="Arial"/>
          <w:sz w:val="22"/>
          <w:szCs w:val="22"/>
        </w:rPr>
        <w:t xml:space="preserve"> obligations.  If the Incident does not rise to the level of a breach, counsel</w:t>
      </w:r>
      <w:r w:rsidR="00715562">
        <w:rPr>
          <w:rFonts w:ascii="Arial" w:hAnsi="Arial" w:cs="Arial"/>
          <w:sz w:val="22"/>
          <w:szCs w:val="22"/>
        </w:rPr>
        <w:t>,</w:t>
      </w:r>
      <w:r>
        <w:rPr>
          <w:rFonts w:ascii="Arial" w:hAnsi="Arial" w:cs="Arial"/>
          <w:sz w:val="22"/>
          <w:szCs w:val="22"/>
        </w:rPr>
        <w:t xml:space="preserve"> along with the IRT</w:t>
      </w:r>
      <w:r w:rsidR="00715562">
        <w:rPr>
          <w:rFonts w:ascii="Arial" w:hAnsi="Arial" w:cs="Arial"/>
          <w:sz w:val="22"/>
          <w:szCs w:val="22"/>
        </w:rPr>
        <w:t>,</w:t>
      </w:r>
      <w:r>
        <w:rPr>
          <w:rFonts w:ascii="Arial" w:hAnsi="Arial" w:cs="Arial"/>
          <w:sz w:val="22"/>
          <w:szCs w:val="22"/>
        </w:rPr>
        <w:t xml:space="preserve"> will document their analysis accordingly.</w:t>
      </w:r>
    </w:p>
    <w:p w14:paraId="13D2A14B" w14:textId="77777777" w:rsidR="00295F88" w:rsidRDefault="00295F88" w:rsidP="00295F88">
      <w:pPr>
        <w:jc w:val="both"/>
        <w:rPr>
          <w:rFonts w:ascii="Arial" w:hAnsi="Arial" w:cs="Arial"/>
          <w:sz w:val="22"/>
          <w:szCs w:val="22"/>
        </w:rPr>
      </w:pPr>
    </w:p>
    <w:p w14:paraId="13D2A14C" w14:textId="77777777" w:rsidR="007A4844" w:rsidRDefault="00EB0765" w:rsidP="007A4844">
      <w:pPr>
        <w:ind w:left="720" w:firstLine="720"/>
        <w:jc w:val="both"/>
        <w:rPr>
          <w:rFonts w:ascii="Arial" w:hAnsi="Arial" w:cs="Arial"/>
          <w:sz w:val="22"/>
          <w:szCs w:val="22"/>
        </w:rPr>
      </w:pPr>
      <w:r>
        <w:rPr>
          <w:rFonts w:ascii="Arial" w:hAnsi="Arial" w:cs="Arial"/>
          <w:sz w:val="22"/>
          <w:szCs w:val="22"/>
        </w:rPr>
        <w:t>6</w:t>
      </w:r>
      <w:r w:rsidR="00295F88" w:rsidRPr="00AB56FD">
        <w:rPr>
          <w:rFonts w:ascii="Arial" w:hAnsi="Arial" w:cs="Arial"/>
          <w:sz w:val="22"/>
          <w:szCs w:val="22"/>
        </w:rPr>
        <w:t>.</w:t>
      </w:r>
      <w:r w:rsidR="00295F88" w:rsidRPr="00AB56FD">
        <w:rPr>
          <w:rFonts w:ascii="Arial" w:hAnsi="Arial" w:cs="Arial"/>
          <w:sz w:val="22"/>
          <w:szCs w:val="22"/>
        </w:rPr>
        <w:tab/>
      </w:r>
      <w:r w:rsidR="00295F88" w:rsidRPr="00AB56FD">
        <w:rPr>
          <w:rFonts w:ascii="Arial" w:hAnsi="Arial" w:cs="Arial"/>
          <w:b/>
          <w:sz w:val="22"/>
          <w:szCs w:val="22"/>
        </w:rPr>
        <w:t>Notification to Affected Individuals</w:t>
      </w:r>
      <w:r w:rsidR="00295F88" w:rsidRPr="00AB56FD">
        <w:rPr>
          <w:rFonts w:ascii="Arial" w:hAnsi="Arial" w:cs="Arial"/>
          <w:sz w:val="22"/>
          <w:szCs w:val="22"/>
        </w:rPr>
        <w:t xml:space="preserve"> – Requirements, timing and forms of notification are all dependent upon </w:t>
      </w:r>
      <w:r w:rsidR="00295F88" w:rsidRPr="00EB0765">
        <w:rPr>
          <w:rFonts w:ascii="Arial" w:hAnsi="Arial" w:cs="Arial"/>
          <w:b/>
          <w:sz w:val="22"/>
          <w:szCs w:val="22"/>
        </w:rPr>
        <w:t>constantly changing</w:t>
      </w:r>
      <w:r w:rsidR="00295F88" w:rsidRPr="00AB56FD">
        <w:rPr>
          <w:rFonts w:ascii="Arial" w:hAnsi="Arial" w:cs="Arial"/>
          <w:sz w:val="22"/>
          <w:szCs w:val="22"/>
        </w:rPr>
        <w:t xml:space="preserve"> state and federal breach notification laws. The IRT should consult its external legal counsel for assistance in determining</w:t>
      </w:r>
      <w:r>
        <w:rPr>
          <w:rFonts w:ascii="Arial" w:hAnsi="Arial" w:cs="Arial"/>
          <w:sz w:val="22"/>
          <w:szCs w:val="22"/>
        </w:rPr>
        <w:t xml:space="preserve"> applicable</w:t>
      </w:r>
      <w:r w:rsidR="00295F88" w:rsidRPr="00AB56FD">
        <w:rPr>
          <w:rFonts w:ascii="Arial" w:hAnsi="Arial" w:cs="Arial"/>
          <w:sz w:val="22"/>
          <w:szCs w:val="22"/>
        </w:rPr>
        <w:t xml:space="preserve"> statutes and notification requirements.</w:t>
      </w:r>
      <w:r w:rsidR="00295F88">
        <w:rPr>
          <w:rFonts w:ascii="Arial" w:hAnsi="Arial" w:cs="Arial"/>
          <w:sz w:val="22"/>
          <w:szCs w:val="22"/>
        </w:rPr>
        <w:t xml:space="preserve">     </w:t>
      </w:r>
    </w:p>
    <w:p w14:paraId="13D2A14D" w14:textId="77777777" w:rsidR="006521D5" w:rsidRDefault="006521D5" w:rsidP="007A4844">
      <w:pPr>
        <w:ind w:left="720" w:firstLine="720"/>
        <w:jc w:val="both"/>
        <w:rPr>
          <w:rFonts w:ascii="Arial" w:hAnsi="Arial" w:cs="Arial"/>
          <w:sz w:val="22"/>
          <w:szCs w:val="22"/>
        </w:rPr>
      </w:pPr>
    </w:p>
    <w:p w14:paraId="13D2A14E" w14:textId="77777777" w:rsidR="007A4844" w:rsidRDefault="007A4844" w:rsidP="007A4844">
      <w:pPr>
        <w:ind w:left="720" w:firstLine="720"/>
        <w:jc w:val="both"/>
        <w:rPr>
          <w:rFonts w:ascii="Arial" w:hAnsi="Arial" w:cs="Arial"/>
          <w:sz w:val="22"/>
          <w:szCs w:val="22"/>
        </w:rPr>
      </w:pPr>
    </w:p>
    <w:p w14:paraId="13D2A14F" w14:textId="77777777" w:rsidR="007A4844" w:rsidRDefault="00295F88" w:rsidP="007A4844">
      <w:pPr>
        <w:ind w:left="2880" w:hanging="720"/>
        <w:jc w:val="both"/>
        <w:rPr>
          <w:rFonts w:ascii="Arial" w:hAnsi="Arial" w:cs="Arial"/>
          <w:sz w:val="22"/>
          <w:szCs w:val="22"/>
        </w:rPr>
      </w:pPr>
      <w:r w:rsidRPr="00B96E2C">
        <w:rPr>
          <w:rFonts w:ascii="Arial" w:hAnsi="Arial" w:cs="Arial"/>
          <w:sz w:val="22"/>
          <w:szCs w:val="22"/>
        </w:rPr>
        <w:t>a.</w:t>
      </w:r>
      <w:r w:rsidRPr="00B96E2C">
        <w:rPr>
          <w:rFonts w:ascii="Arial" w:hAnsi="Arial" w:cs="Arial"/>
          <w:sz w:val="22"/>
          <w:szCs w:val="22"/>
        </w:rPr>
        <w:tab/>
      </w:r>
      <w:r w:rsidRPr="00B96E2C">
        <w:rPr>
          <w:rFonts w:ascii="Arial" w:hAnsi="Arial" w:cs="Arial"/>
          <w:sz w:val="22"/>
          <w:szCs w:val="22"/>
          <w:u w:val="single"/>
        </w:rPr>
        <w:t>Time for Providing Notification</w:t>
      </w:r>
      <w:r w:rsidRPr="00B96E2C">
        <w:rPr>
          <w:rFonts w:ascii="Arial" w:hAnsi="Arial" w:cs="Arial"/>
          <w:sz w:val="22"/>
          <w:szCs w:val="22"/>
        </w:rPr>
        <w:t xml:space="preserve">. Once the </w:t>
      </w:r>
      <w:r>
        <w:rPr>
          <w:rFonts w:ascii="Arial" w:hAnsi="Arial" w:cs="Arial"/>
          <w:sz w:val="22"/>
          <w:szCs w:val="22"/>
        </w:rPr>
        <w:t xml:space="preserve">IRT </w:t>
      </w:r>
      <w:r w:rsidRPr="00B96E2C">
        <w:rPr>
          <w:rFonts w:ascii="Arial" w:hAnsi="Arial" w:cs="Arial"/>
          <w:sz w:val="22"/>
          <w:szCs w:val="22"/>
        </w:rPr>
        <w:t xml:space="preserve">has determined that notification is required, the </w:t>
      </w:r>
      <w:r w:rsidR="00A64C9D">
        <w:rPr>
          <w:rFonts w:ascii="Arial" w:hAnsi="Arial" w:cs="Arial"/>
          <w:sz w:val="22"/>
          <w:szCs w:val="22"/>
        </w:rPr>
        <w:t>Organization</w:t>
      </w:r>
      <w:r w:rsidRPr="00B96E2C">
        <w:rPr>
          <w:rFonts w:ascii="Arial" w:hAnsi="Arial" w:cs="Arial"/>
          <w:sz w:val="22"/>
          <w:szCs w:val="22"/>
        </w:rPr>
        <w:t xml:space="preserve"> shall notify affected individuals without unreasonable delay. However, notification may be delayed if law enforcement informs the </w:t>
      </w:r>
      <w:r w:rsidR="00A64C9D">
        <w:rPr>
          <w:rFonts w:ascii="Arial" w:hAnsi="Arial" w:cs="Arial"/>
          <w:sz w:val="22"/>
          <w:szCs w:val="22"/>
        </w:rPr>
        <w:t>Organization</w:t>
      </w:r>
      <w:r w:rsidRPr="00B96E2C">
        <w:rPr>
          <w:rFonts w:ascii="Arial" w:hAnsi="Arial" w:cs="Arial"/>
          <w:sz w:val="22"/>
          <w:szCs w:val="22"/>
        </w:rPr>
        <w:t xml:space="preserve"> that disclosure of the breach would impede a criminal investigation or jeopardize national or homeland security.  (Note:  </w:t>
      </w:r>
      <w:r w:rsidR="00EB0765" w:rsidRPr="00AD2403">
        <w:rPr>
          <w:rFonts w:ascii="Arial" w:hAnsi="Arial" w:cs="Arial"/>
          <w:b/>
          <w:i/>
          <w:sz w:val="22"/>
          <w:szCs w:val="22"/>
        </w:rPr>
        <w:t>currently</w:t>
      </w:r>
      <w:r w:rsidR="00EB0765">
        <w:rPr>
          <w:rFonts w:ascii="Arial" w:hAnsi="Arial" w:cs="Arial"/>
          <w:sz w:val="22"/>
          <w:szCs w:val="22"/>
        </w:rPr>
        <w:t xml:space="preserve"> </w:t>
      </w:r>
      <w:r w:rsidRPr="00B96E2C">
        <w:rPr>
          <w:rFonts w:ascii="Arial" w:hAnsi="Arial" w:cs="Arial"/>
          <w:sz w:val="22"/>
          <w:szCs w:val="22"/>
        </w:rPr>
        <w:t xml:space="preserve">several states require that notification </w:t>
      </w:r>
      <w:r w:rsidR="00715562">
        <w:rPr>
          <w:rFonts w:ascii="Arial" w:hAnsi="Arial" w:cs="Arial"/>
          <w:sz w:val="22"/>
          <w:szCs w:val="22"/>
        </w:rPr>
        <w:t>to affected individuals</w:t>
      </w:r>
      <w:r w:rsidR="0004720F">
        <w:rPr>
          <w:rFonts w:ascii="Arial" w:hAnsi="Arial" w:cs="Arial"/>
          <w:sz w:val="22"/>
          <w:szCs w:val="22"/>
        </w:rPr>
        <w:t xml:space="preserve"> </w:t>
      </w:r>
      <w:r w:rsidRPr="00B96E2C">
        <w:rPr>
          <w:rFonts w:ascii="Arial" w:hAnsi="Arial" w:cs="Arial"/>
          <w:sz w:val="22"/>
          <w:szCs w:val="22"/>
        </w:rPr>
        <w:t xml:space="preserve">be sent within </w:t>
      </w:r>
      <w:r>
        <w:rPr>
          <w:rFonts w:ascii="Arial" w:hAnsi="Arial" w:cs="Arial"/>
          <w:sz w:val="22"/>
          <w:szCs w:val="22"/>
        </w:rPr>
        <w:t>30</w:t>
      </w:r>
      <w:r w:rsidRPr="00B96E2C">
        <w:rPr>
          <w:rFonts w:ascii="Arial" w:hAnsi="Arial" w:cs="Arial"/>
          <w:sz w:val="22"/>
          <w:szCs w:val="22"/>
        </w:rPr>
        <w:t xml:space="preserve"> </w:t>
      </w:r>
      <w:r>
        <w:rPr>
          <w:rFonts w:ascii="Arial" w:hAnsi="Arial" w:cs="Arial"/>
          <w:sz w:val="22"/>
          <w:szCs w:val="22"/>
        </w:rPr>
        <w:t xml:space="preserve">or 45 </w:t>
      </w:r>
      <w:r w:rsidRPr="00B96E2C">
        <w:rPr>
          <w:rFonts w:ascii="Arial" w:hAnsi="Arial" w:cs="Arial"/>
          <w:sz w:val="22"/>
          <w:szCs w:val="22"/>
        </w:rPr>
        <w:t>days of discovery of the breach.)</w:t>
      </w:r>
    </w:p>
    <w:p w14:paraId="13D2A150" w14:textId="77777777" w:rsidR="007A4844" w:rsidRDefault="007A4844" w:rsidP="007A4844">
      <w:pPr>
        <w:ind w:left="2880" w:hanging="720"/>
        <w:jc w:val="both"/>
        <w:rPr>
          <w:rFonts w:ascii="Arial" w:hAnsi="Arial" w:cs="Arial"/>
          <w:sz w:val="22"/>
          <w:szCs w:val="22"/>
        </w:rPr>
      </w:pPr>
    </w:p>
    <w:p w14:paraId="13D2A151" w14:textId="77777777" w:rsidR="007A4844" w:rsidRDefault="00295F88" w:rsidP="007A4844">
      <w:pPr>
        <w:ind w:left="2880" w:hanging="720"/>
        <w:jc w:val="both"/>
        <w:rPr>
          <w:rFonts w:ascii="Arial" w:hAnsi="Arial" w:cs="Arial"/>
          <w:sz w:val="22"/>
          <w:szCs w:val="22"/>
        </w:rPr>
      </w:pPr>
      <w:r w:rsidRPr="00B96E2C">
        <w:rPr>
          <w:rFonts w:ascii="Arial" w:hAnsi="Arial" w:cs="Arial"/>
          <w:sz w:val="22"/>
          <w:szCs w:val="22"/>
        </w:rPr>
        <w:t>b.</w:t>
      </w:r>
      <w:r w:rsidRPr="00B96E2C">
        <w:rPr>
          <w:rFonts w:ascii="Arial" w:hAnsi="Arial" w:cs="Arial"/>
          <w:sz w:val="22"/>
          <w:szCs w:val="22"/>
        </w:rPr>
        <w:tab/>
      </w:r>
      <w:r w:rsidRPr="00B96E2C">
        <w:rPr>
          <w:rFonts w:ascii="Arial" w:hAnsi="Arial" w:cs="Arial"/>
          <w:sz w:val="22"/>
          <w:szCs w:val="22"/>
          <w:u w:val="single"/>
        </w:rPr>
        <w:t>Responsibility for Providing Notification</w:t>
      </w:r>
      <w:r w:rsidRPr="00B96E2C">
        <w:rPr>
          <w:rFonts w:ascii="Arial" w:hAnsi="Arial" w:cs="Arial"/>
          <w:sz w:val="22"/>
          <w:szCs w:val="22"/>
        </w:rPr>
        <w:t xml:space="preserve">. The responsibility for providing notification shall lie with the IRT Leader. The IRT Leader may delegate this responsibility, but should satisfy himself or herself that the proper notification has, in fact, occurred. (Note: some states </w:t>
      </w:r>
      <w:r w:rsidR="0033507F" w:rsidRPr="00AD2403">
        <w:rPr>
          <w:rFonts w:ascii="Arial" w:hAnsi="Arial" w:cs="Arial"/>
          <w:b/>
          <w:i/>
          <w:sz w:val="22"/>
          <w:szCs w:val="22"/>
        </w:rPr>
        <w:t>currently</w:t>
      </w:r>
      <w:r w:rsidR="0033507F">
        <w:rPr>
          <w:rFonts w:ascii="Arial" w:hAnsi="Arial" w:cs="Arial"/>
          <w:sz w:val="22"/>
          <w:szCs w:val="22"/>
        </w:rPr>
        <w:t xml:space="preserve"> </w:t>
      </w:r>
      <w:r w:rsidRPr="00B96E2C">
        <w:rPr>
          <w:rFonts w:ascii="Arial" w:hAnsi="Arial" w:cs="Arial"/>
          <w:sz w:val="22"/>
          <w:szCs w:val="22"/>
        </w:rPr>
        <w:t>require that copies of notifications and all records of the incident be maintained for at least five (5) years.)</w:t>
      </w:r>
    </w:p>
    <w:p w14:paraId="13D2A152" w14:textId="77777777" w:rsidR="007A4844" w:rsidRDefault="007A4844" w:rsidP="007A4844">
      <w:pPr>
        <w:ind w:left="2880" w:hanging="720"/>
        <w:jc w:val="both"/>
        <w:rPr>
          <w:rFonts w:ascii="Arial" w:hAnsi="Arial" w:cs="Arial"/>
          <w:sz w:val="22"/>
          <w:szCs w:val="22"/>
        </w:rPr>
      </w:pPr>
    </w:p>
    <w:p w14:paraId="13D2A153" w14:textId="77777777" w:rsidR="00295F88" w:rsidRPr="00F9453D" w:rsidRDefault="00295F88" w:rsidP="007A4844">
      <w:pPr>
        <w:ind w:left="2880" w:hanging="720"/>
        <w:jc w:val="both"/>
        <w:rPr>
          <w:rFonts w:ascii="Arial" w:hAnsi="Arial" w:cs="Arial"/>
          <w:sz w:val="22"/>
          <w:szCs w:val="22"/>
        </w:rPr>
      </w:pPr>
      <w:r w:rsidRPr="00B96E2C">
        <w:rPr>
          <w:rFonts w:ascii="Arial" w:hAnsi="Arial" w:cs="Arial"/>
          <w:sz w:val="22"/>
          <w:szCs w:val="22"/>
        </w:rPr>
        <w:t>c.</w:t>
      </w:r>
      <w:r w:rsidRPr="00B96E2C">
        <w:rPr>
          <w:rFonts w:ascii="Arial" w:hAnsi="Arial" w:cs="Arial"/>
          <w:sz w:val="22"/>
          <w:szCs w:val="22"/>
        </w:rPr>
        <w:tab/>
      </w:r>
      <w:r w:rsidRPr="00B96E2C">
        <w:rPr>
          <w:rFonts w:ascii="Arial" w:hAnsi="Arial" w:cs="Arial"/>
          <w:sz w:val="22"/>
          <w:szCs w:val="22"/>
          <w:u w:val="single"/>
        </w:rPr>
        <w:t>Content of the Notification</w:t>
      </w:r>
      <w:r w:rsidRPr="00B96E2C">
        <w:rPr>
          <w:rFonts w:ascii="Arial" w:hAnsi="Arial" w:cs="Arial"/>
          <w:sz w:val="22"/>
          <w:szCs w:val="22"/>
        </w:rPr>
        <w:t xml:space="preserve">. Content of the notification </w:t>
      </w:r>
      <w:r w:rsidR="00715562">
        <w:rPr>
          <w:rFonts w:ascii="Arial" w:hAnsi="Arial" w:cs="Arial"/>
          <w:sz w:val="22"/>
          <w:szCs w:val="22"/>
        </w:rPr>
        <w:t>is</w:t>
      </w:r>
      <w:r w:rsidR="00715562" w:rsidRPr="00B96E2C">
        <w:rPr>
          <w:rFonts w:ascii="Arial" w:hAnsi="Arial" w:cs="Arial"/>
          <w:sz w:val="22"/>
          <w:szCs w:val="22"/>
        </w:rPr>
        <w:t xml:space="preserve"> </w:t>
      </w:r>
      <w:r w:rsidRPr="00B96E2C">
        <w:rPr>
          <w:rFonts w:ascii="Arial" w:hAnsi="Arial" w:cs="Arial"/>
          <w:sz w:val="22"/>
          <w:szCs w:val="22"/>
        </w:rPr>
        <w:t xml:space="preserve">dependent upon </w:t>
      </w:r>
      <w:r w:rsidR="0033507F" w:rsidRPr="00AD2403">
        <w:rPr>
          <w:rFonts w:ascii="Arial" w:hAnsi="Arial" w:cs="Arial"/>
          <w:b/>
          <w:i/>
          <w:sz w:val="22"/>
          <w:szCs w:val="22"/>
        </w:rPr>
        <w:t>current</w:t>
      </w:r>
      <w:r w:rsidR="0033507F">
        <w:rPr>
          <w:rFonts w:ascii="Arial" w:hAnsi="Arial" w:cs="Arial"/>
          <w:sz w:val="22"/>
          <w:szCs w:val="22"/>
        </w:rPr>
        <w:t xml:space="preserve"> </w:t>
      </w:r>
      <w:r w:rsidRPr="00B96E2C">
        <w:rPr>
          <w:rFonts w:ascii="Arial" w:hAnsi="Arial" w:cs="Arial"/>
          <w:sz w:val="22"/>
          <w:szCs w:val="22"/>
        </w:rPr>
        <w:t xml:space="preserve">applicable statutes and regulations. </w:t>
      </w:r>
      <w:r w:rsidR="0033507F" w:rsidRPr="00AD2403">
        <w:rPr>
          <w:rFonts w:ascii="Arial" w:hAnsi="Arial" w:cs="Arial"/>
          <w:b/>
          <w:i/>
          <w:sz w:val="22"/>
          <w:szCs w:val="22"/>
        </w:rPr>
        <w:t>Currently</w:t>
      </w:r>
      <w:r w:rsidR="0033507F">
        <w:rPr>
          <w:rFonts w:ascii="Arial" w:hAnsi="Arial" w:cs="Arial"/>
          <w:sz w:val="22"/>
          <w:szCs w:val="22"/>
        </w:rPr>
        <w:t>, a</w:t>
      </w:r>
      <w:r w:rsidRPr="00B96E2C">
        <w:rPr>
          <w:rFonts w:ascii="Arial" w:hAnsi="Arial" w:cs="Arial"/>
          <w:sz w:val="22"/>
          <w:szCs w:val="22"/>
        </w:rPr>
        <w:t>t a minimum, notification shall be clear and conspicuous, and it shall describe the incident in general terms along with the type of information involved</w:t>
      </w:r>
      <w:r w:rsidR="00744295">
        <w:rPr>
          <w:rFonts w:ascii="Arial" w:hAnsi="Arial" w:cs="Arial"/>
          <w:sz w:val="22"/>
          <w:szCs w:val="22"/>
        </w:rPr>
        <w:t xml:space="preserve"> (PII/PHI)</w:t>
      </w:r>
      <w:r w:rsidRPr="00B96E2C">
        <w:rPr>
          <w:rFonts w:ascii="Arial" w:hAnsi="Arial" w:cs="Arial"/>
          <w:sz w:val="22"/>
          <w:szCs w:val="22"/>
        </w:rPr>
        <w:t xml:space="preserve">, the </w:t>
      </w:r>
      <w:r w:rsidR="00A64C9D">
        <w:rPr>
          <w:rFonts w:ascii="Arial" w:hAnsi="Arial" w:cs="Arial"/>
          <w:sz w:val="22"/>
          <w:szCs w:val="22"/>
        </w:rPr>
        <w:t>Organization</w:t>
      </w:r>
      <w:r w:rsidRPr="00B96E2C">
        <w:rPr>
          <w:rFonts w:ascii="Arial" w:hAnsi="Arial" w:cs="Arial"/>
          <w:sz w:val="22"/>
          <w:szCs w:val="22"/>
        </w:rPr>
        <w:t>’s actions</w:t>
      </w:r>
      <w:r w:rsidR="00744295">
        <w:rPr>
          <w:rFonts w:ascii="Arial" w:hAnsi="Arial" w:cs="Arial"/>
          <w:sz w:val="22"/>
          <w:szCs w:val="22"/>
        </w:rPr>
        <w:t xml:space="preserve"> to mitigate harm and investigate</w:t>
      </w:r>
      <w:r w:rsidRPr="00B96E2C">
        <w:rPr>
          <w:rFonts w:ascii="Arial" w:hAnsi="Arial" w:cs="Arial"/>
          <w:sz w:val="22"/>
          <w:szCs w:val="22"/>
        </w:rPr>
        <w:t xml:space="preserve">, </w:t>
      </w:r>
      <w:r w:rsidR="00A32B38">
        <w:rPr>
          <w:rFonts w:ascii="Arial" w:hAnsi="Arial" w:cs="Arial"/>
          <w:sz w:val="22"/>
          <w:szCs w:val="22"/>
        </w:rPr>
        <w:t xml:space="preserve">steps individuals can take to protect themselves, information on fraud alerts and security freezes, contact information for nationwide credit reporting agencies, </w:t>
      </w:r>
      <w:r w:rsidRPr="00B96E2C">
        <w:rPr>
          <w:rFonts w:ascii="Arial" w:hAnsi="Arial" w:cs="Arial"/>
          <w:sz w:val="22"/>
          <w:szCs w:val="22"/>
        </w:rPr>
        <w:t>and contact information to receive further assistance</w:t>
      </w:r>
      <w:r w:rsidR="00A32B38">
        <w:rPr>
          <w:rFonts w:ascii="Arial" w:hAnsi="Arial" w:cs="Arial"/>
          <w:sz w:val="22"/>
          <w:szCs w:val="22"/>
        </w:rPr>
        <w:t xml:space="preserve"> from the </w:t>
      </w:r>
      <w:r w:rsidR="00A64C9D">
        <w:rPr>
          <w:rFonts w:ascii="Arial" w:hAnsi="Arial" w:cs="Arial"/>
          <w:sz w:val="22"/>
          <w:szCs w:val="22"/>
        </w:rPr>
        <w:t>Organization</w:t>
      </w:r>
      <w:r w:rsidRPr="00B96E2C">
        <w:rPr>
          <w:rFonts w:ascii="Arial" w:hAnsi="Arial" w:cs="Arial"/>
          <w:sz w:val="22"/>
          <w:szCs w:val="22"/>
        </w:rPr>
        <w:t xml:space="preserve">. </w:t>
      </w:r>
      <w:r w:rsidR="00A32B38">
        <w:rPr>
          <w:rFonts w:ascii="Arial" w:hAnsi="Arial" w:cs="Arial"/>
          <w:sz w:val="22"/>
          <w:szCs w:val="22"/>
        </w:rPr>
        <w:t xml:space="preserve">Notices should also include a reminder to remain vigilant and promptly report incidents of suspected identity theft.  </w:t>
      </w:r>
      <w:r w:rsidR="00A32B38" w:rsidRPr="00F9453D">
        <w:rPr>
          <w:rFonts w:ascii="Arial" w:hAnsi="Arial" w:cs="Arial"/>
          <w:sz w:val="22"/>
          <w:szCs w:val="22"/>
        </w:rPr>
        <w:t>Contact information for the FTC may also be included (</w:t>
      </w:r>
      <w:hyperlink r:id="rId8" w:history="1">
        <w:r w:rsidR="00A32B38" w:rsidRPr="00F9453D">
          <w:rPr>
            <w:rStyle w:val="Hyperlink"/>
            <w:rFonts w:ascii="Arial" w:hAnsi="Arial" w:cs="Arial"/>
            <w:sz w:val="22"/>
            <w:szCs w:val="22"/>
          </w:rPr>
          <w:t>www.ftc.gov/idtheft</w:t>
        </w:r>
      </w:hyperlink>
      <w:r w:rsidR="00F9453D" w:rsidRPr="00F9453D">
        <w:rPr>
          <w:rFonts w:ascii="Arial" w:hAnsi="Arial" w:cs="Arial"/>
          <w:sz w:val="22"/>
          <w:szCs w:val="22"/>
        </w:rPr>
        <w:t xml:space="preserve">; </w:t>
      </w:r>
      <w:r w:rsidR="00A32B38" w:rsidRPr="00F9453D">
        <w:rPr>
          <w:rFonts w:ascii="Arial" w:hAnsi="Arial" w:cs="Arial"/>
          <w:sz w:val="22"/>
          <w:szCs w:val="22"/>
        </w:rPr>
        <w:t>1-877-IDTHEFT</w:t>
      </w:r>
      <w:r w:rsidR="00F9453D" w:rsidRPr="00F9453D">
        <w:rPr>
          <w:rFonts w:ascii="Arial" w:hAnsi="Arial" w:cs="Arial"/>
          <w:sz w:val="22"/>
          <w:szCs w:val="22"/>
        </w:rPr>
        <w:t xml:space="preserve">; </w:t>
      </w:r>
      <w:r w:rsidR="00F9453D" w:rsidRPr="00AD2403">
        <w:rPr>
          <w:rFonts w:ascii="Arial" w:hAnsi="Arial" w:cs="Arial"/>
          <w:color w:val="000000"/>
          <w:sz w:val="22"/>
          <w:szCs w:val="22"/>
          <w:lang w:val="en"/>
        </w:rPr>
        <w:t>Consumer Response Center</w:t>
      </w:r>
      <w:r w:rsidR="00F9453D" w:rsidRPr="00AD2403">
        <w:rPr>
          <w:rFonts w:ascii="Arial" w:hAnsi="Arial" w:cs="Arial"/>
          <w:color w:val="000000"/>
          <w:sz w:val="22"/>
          <w:szCs w:val="22"/>
        </w:rPr>
        <w:t>, 600 Pennsylvania Avenue, NW, Washington, DC 20580</w:t>
      </w:r>
      <w:r w:rsidR="00A32B38" w:rsidRPr="00F9453D">
        <w:rPr>
          <w:rFonts w:ascii="Arial" w:hAnsi="Arial" w:cs="Arial"/>
          <w:sz w:val="22"/>
          <w:szCs w:val="22"/>
        </w:rPr>
        <w:t xml:space="preserve">). </w:t>
      </w:r>
      <w:r w:rsidR="00F9453D">
        <w:rPr>
          <w:rFonts w:ascii="Arial" w:hAnsi="Arial" w:cs="Arial"/>
          <w:sz w:val="22"/>
          <w:szCs w:val="22"/>
        </w:rPr>
        <w:t>Depending on state of residence of individual being notified, may need to include contact information for state Attorney General.</w:t>
      </w:r>
      <w:r w:rsidR="00A32B38" w:rsidRPr="00F9453D">
        <w:rPr>
          <w:rFonts w:ascii="Arial" w:hAnsi="Arial" w:cs="Arial"/>
          <w:sz w:val="22"/>
          <w:szCs w:val="22"/>
        </w:rPr>
        <w:t xml:space="preserve"> </w:t>
      </w:r>
      <w:r w:rsidRPr="00F9453D">
        <w:rPr>
          <w:rFonts w:ascii="Arial" w:hAnsi="Arial" w:cs="Arial"/>
          <w:sz w:val="22"/>
          <w:szCs w:val="22"/>
        </w:rPr>
        <w:t xml:space="preserve">Note, however, some states (i.e., Massachusetts) </w:t>
      </w:r>
      <w:r w:rsidR="0033507F" w:rsidRPr="00AD2403">
        <w:rPr>
          <w:rFonts w:ascii="Arial" w:hAnsi="Arial" w:cs="Arial"/>
          <w:b/>
          <w:i/>
          <w:sz w:val="22"/>
          <w:szCs w:val="22"/>
        </w:rPr>
        <w:t>currently</w:t>
      </w:r>
      <w:r w:rsidR="0033507F" w:rsidRPr="00F9453D">
        <w:rPr>
          <w:rFonts w:ascii="Arial" w:hAnsi="Arial" w:cs="Arial"/>
          <w:sz w:val="22"/>
          <w:szCs w:val="22"/>
        </w:rPr>
        <w:t xml:space="preserve"> </w:t>
      </w:r>
      <w:r w:rsidRPr="00F9453D">
        <w:rPr>
          <w:rFonts w:ascii="Arial" w:hAnsi="Arial" w:cs="Arial"/>
          <w:sz w:val="22"/>
          <w:szCs w:val="22"/>
        </w:rPr>
        <w:t>do not allow specific facts relative to the privacy incident to be included in the notification letters.</w:t>
      </w:r>
    </w:p>
    <w:p w14:paraId="13D2A154" w14:textId="77777777" w:rsidR="00295F88" w:rsidRDefault="00295F88" w:rsidP="00295F88">
      <w:pPr>
        <w:keepNext/>
        <w:keepLines/>
        <w:jc w:val="both"/>
        <w:rPr>
          <w:rFonts w:ascii="Arial" w:hAnsi="Arial" w:cs="Arial"/>
          <w:sz w:val="22"/>
          <w:szCs w:val="22"/>
        </w:rPr>
      </w:pPr>
    </w:p>
    <w:p w14:paraId="13D2A155" w14:textId="77777777" w:rsidR="00295F88" w:rsidRDefault="00295F88" w:rsidP="00295F88">
      <w:pPr>
        <w:keepNext/>
        <w:keepLines/>
        <w:ind w:left="2880" w:hanging="720"/>
        <w:jc w:val="both"/>
        <w:rPr>
          <w:rFonts w:ascii="Arial" w:hAnsi="Arial" w:cs="Arial"/>
          <w:sz w:val="22"/>
          <w:szCs w:val="22"/>
        </w:rPr>
      </w:pPr>
      <w:r w:rsidRPr="00B96E2C">
        <w:rPr>
          <w:rFonts w:ascii="Arial" w:hAnsi="Arial" w:cs="Arial"/>
          <w:sz w:val="22"/>
          <w:szCs w:val="22"/>
        </w:rPr>
        <w:t>d.</w:t>
      </w:r>
      <w:r w:rsidRPr="00B96E2C">
        <w:rPr>
          <w:rFonts w:ascii="Arial" w:hAnsi="Arial" w:cs="Arial"/>
          <w:sz w:val="22"/>
          <w:szCs w:val="22"/>
        </w:rPr>
        <w:tab/>
      </w:r>
      <w:r w:rsidRPr="00B96E2C">
        <w:rPr>
          <w:rFonts w:ascii="Arial" w:hAnsi="Arial" w:cs="Arial"/>
          <w:sz w:val="22"/>
          <w:szCs w:val="22"/>
          <w:u w:val="single"/>
        </w:rPr>
        <w:t>Method of Notification</w:t>
      </w:r>
      <w:r w:rsidRPr="00B96E2C">
        <w:rPr>
          <w:rFonts w:ascii="Arial" w:hAnsi="Arial" w:cs="Arial"/>
          <w:sz w:val="22"/>
          <w:szCs w:val="22"/>
        </w:rPr>
        <w:t>. Notification to affected persons must be provided as determined by the IRT and in compliance with applicable state or federal statutes, unless substitute notification is permitted.</w:t>
      </w:r>
    </w:p>
    <w:p w14:paraId="13D2A156" w14:textId="77777777" w:rsidR="00295F88" w:rsidRDefault="00295F88" w:rsidP="00295F88">
      <w:pPr>
        <w:jc w:val="both"/>
        <w:rPr>
          <w:rFonts w:ascii="Arial" w:hAnsi="Arial" w:cs="Arial"/>
          <w:sz w:val="22"/>
          <w:szCs w:val="22"/>
        </w:rPr>
      </w:pPr>
      <w:r>
        <w:rPr>
          <w:rFonts w:ascii="Arial" w:hAnsi="Arial" w:cs="Arial"/>
          <w:sz w:val="22"/>
          <w:szCs w:val="22"/>
        </w:rPr>
        <w:t xml:space="preserve">                                                                           </w:t>
      </w:r>
    </w:p>
    <w:p w14:paraId="13D2A157" w14:textId="77777777" w:rsidR="00295F88" w:rsidRDefault="00295F88" w:rsidP="00295F88">
      <w:pPr>
        <w:keepNext/>
        <w:keepLines/>
        <w:ind w:left="2880" w:hanging="720"/>
        <w:jc w:val="both"/>
        <w:rPr>
          <w:rFonts w:ascii="Arial" w:hAnsi="Arial" w:cs="Arial"/>
          <w:sz w:val="22"/>
          <w:szCs w:val="22"/>
        </w:rPr>
      </w:pPr>
      <w:r w:rsidRPr="00B96E2C">
        <w:rPr>
          <w:rFonts w:ascii="Arial" w:hAnsi="Arial" w:cs="Arial"/>
          <w:sz w:val="22"/>
          <w:szCs w:val="22"/>
        </w:rPr>
        <w:t>e.</w:t>
      </w:r>
      <w:r w:rsidRPr="00B96E2C">
        <w:rPr>
          <w:rFonts w:ascii="Arial" w:hAnsi="Arial" w:cs="Arial"/>
          <w:sz w:val="22"/>
          <w:szCs w:val="22"/>
        </w:rPr>
        <w:tab/>
      </w:r>
      <w:r w:rsidRPr="00B96E2C">
        <w:rPr>
          <w:rFonts w:ascii="Arial" w:hAnsi="Arial" w:cs="Arial"/>
          <w:sz w:val="22"/>
          <w:szCs w:val="22"/>
          <w:u w:val="single"/>
        </w:rPr>
        <w:t>Substitute Notification</w:t>
      </w:r>
      <w:r w:rsidRPr="00B96E2C">
        <w:rPr>
          <w:rFonts w:ascii="Arial" w:hAnsi="Arial" w:cs="Arial"/>
          <w:sz w:val="22"/>
          <w:szCs w:val="22"/>
        </w:rPr>
        <w:t xml:space="preserve">. Acceptable substitute notification will be determined by applicable state or federal statutes.  Examples of </w:t>
      </w:r>
      <w:r w:rsidR="0033507F" w:rsidRPr="00AD2403">
        <w:rPr>
          <w:rFonts w:ascii="Arial" w:hAnsi="Arial" w:cs="Arial"/>
          <w:b/>
          <w:i/>
          <w:sz w:val="22"/>
          <w:szCs w:val="22"/>
        </w:rPr>
        <w:t>current</w:t>
      </w:r>
      <w:r w:rsidR="0033507F">
        <w:rPr>
          <w:rFonts w:ascii="Arial" w:hAnsi="Arial" w:cs="Arial"/>
          <w:sz w:val="22"/>
          <w:szCs w:val="22"/>
        </w:rPr>
        <w:t xml:space="preserve"> </w:t>
      </w:r>
      <w:r w:rsidRPr="00B96E2C">
        <w:rPr>
          <w:rFonts w:ascii="Arial" w:hAnsi="Arial" w:cs="Arial"/>
          <w:sz w:val="22"/>
          <w:szCs w:val="22"/>
        </w:rPr>
        <w:t xml:space="preserve">substitute notice include e-mail, conspicuous posting on </w:t>
      </w:r>
      <w:r w:rsidR="00744295">
        <w:rPr>
          <w:rFonts w:ascii="Arial" w:hAnsi="Arial" w:cs="Arial"/>
          <w:sz w:val="22"/>
          <w:szCs w:val="22"/>
        </w:rPr>
        <w:t>website</w:t>
      </w:r>
      <w:r w:rsidRPr="00B96E2C">
        <w:rPr>
          <w:rFonts w:ascii="Arial" w:hAnsi="Arial" w:cs="Arial"/>
          <w:sz w:val="22"/>
          <w:szCs w:val="22"/>
        </w:rPr>
        <w:t>, and notice to statewide media.</w:t>
      </w:r>
    </w:p>
    <w:p w14:paraId="13D2A158" w14:textId="77777777" w:rsidR="006521D5" w:rsidRPr="00B96E2C" w:rsidRDefault="006521D5" w:rsidP="00295F88">
      <w:pPr>
        <w:keepNext/>
        <w:keepLines/>
        <w:ind w:left="2880" w:hanging="720"/>
        <w:jc w:val="both"/>
        <w:rPr>
          <w:rFonts w:ascii="Arial" w:hAnsi="Arial" w:cs="Arial"/>
          <w:sz w:val="22"/>
          <w:szCs w:val="22"/>
        </w:rPr>
      </w:pPr>
    </w:p>
    <w:p w14:paraId="13D2A159" w14:textId="77777777" w:rsidR="00295F88" w:rsidRPr="007271A7" w:rsidRDefault="00295F88" w:rsidP="00F81957">
      <w:pPr>
        <w:jc w:val="both"/>
        <w:rPr>
          <w:rFonts w:ascii="TKTypeRegular" w:hAnsi="TKTypeRegular"/>
          <w:sz w:val="22"/>
          <w:szCs w:val="22"/>
        </w:rPr>
      </w:pPr>
    </w:p>
    <w:p w14:paraId="13D2A15A" w14:textId="77777777" w:rsidR="007B6673" w:rsidRDefault="0033507F" w:rsidP="002F03CA">
      <w:pPr>
        <w:ind w:left="720" w:firstLine="720"/>
        <w:jc w:val="both"/>
        <w:rPr>
          <w:rFonts w:ascii="TKTypeRegular" w:hAnsi="TKTypeRegular"/>
          <w:sz w:val="22"/>
          <w:szCs w:val="22"/>
        </w:rPr>
      </w:pPr>
      <w:r>
        <w:rPr>
          <w:rFonts w:ascii="Arial" w:hAnsi="Arial" w:cs="Arial"/>
          <w:sz w:val="22"/>
          <w:szCs w:val="22"/>
        </w:rPr>
        <w:t>7</w:t>
      </w:r>
      <w:r w:rsidR="00AB2B9D" w:rsidRPr="00B96E2C">
        <w:rPr>
          <w:rFonts w:ascii="Arial" w:hAnsi="Arial" w:cs="Arial"/>
          <w:sz w:val="22"/>
          <w:szCs w:val="22"/>
        </w:rPr>
        <w:t>.</w:t>
      </w:r>
      <w:r w:rsidR="00AB2B9D" w:rsidRPr="00B96E2C">
        <w:rPr>
          <w:rFonts w:ascii="Arial" w:hAnsi="Arial" w:cs="Arial"/>
          <w:sz w:val="22"/>
          <w:szCs w:val="22"/>
        </w:rPr>
        <w:tab/>
      </w:r>
      <w:r w:rsidR="00AB2B9D" w:rsidRPr="00B96E2C">
        <w:rPr>
          <w:rFonts w:ascii="Arial" w:hAnsi="Arial" w:cs="Arial"/>
          <w:b/>
          <w:sz w:val="22"/>
          <w:szCs w:val="22"/>
        </w:rPr>
        <w:t>Notification Requirements</w:t>
      </w:r>
      <w:r w:rsidR="00744295">
        <w:rPr>
          <w:rFonts w:ascii="Arial" w:hAnsi="Arial" w:cs="Arial"/>
          <w:b/>
          <w:sz w:val="22"/>
          <w:szCs w:val="22"/>
        </w:rPr>
        <w:t xml:space="preserve"> to Regulators</w:t>
      </w:r>
      <w:r w:rsidR="00AB2B9D" w:rsidRPr="00B96E2C">
        <w:rPr>
          <w:rFonts w:ascii="Arial" w:hAnsi="Arial" w:cs="Arial"/>
          <w:sz w:val="22"/>
          <w:szCs w:val="22"/>
        </w:rPr>
        <w:t xml:space="preserve"> – Many state and federal laws </w:t>
      </w:r>
      <w:r w:rsidR="00F706AD" w:rsidRPr="00AD2403">
        <w:rPr>
          <w:rFonts w:ascii="Arial" w:hAnsi="Arial" w:cs="Arial"/>
          <w:b/>
          <w:i/>
          <w:sz w:val="22"/>
          <w:szCs w:val="22"/>
        </w:rPr>
        <w:t>currently</w:t>
      </w:r>
      <w:r w:rsidR="00F706AD">
        <w:rPr>
          <w:rFonts w:ascii="Arial" w:hAnsi="Arial" w:cs="Arial"/>
          <w:sz w:val="22"/>
          <w:szCs w:val="22"/>
        </w:rPr>
        <w:t xml:space="preserve"> </w:t>
      </w:r>
      <w:r w:rsidR="00AB2B9D" w:rsidRPr="00B96E2C">
        <w:rPr>
          <w:rFonts w:ascii="Arial" w:hAnsi="Arial" w:cs="Arial"/>
          <w:sz w:val="22"/>
          <w:szCs w:val="22"/>
        </w:rPr>
        <w:t>require notification to the state Attorneys’ General office</w:t>
      </w:r>
      <w:r w:rsidR="00744295">
        <w:rPr>
          <w:rFonts w:ascii="Arial" w:hAnsi="Arial" w:cs="Arial"/>
          <w:sz w:val="22"/>
          <w:szCs w:val="22"/>
        </w:rPr>
        <w:t>,</w:t>
      </w:r>
      <w:r w:rsidR="00AB2B9D" w:rsidRPr="00B96E2C">
        <w:rPr>
          <w:rFonts w:ascii="Arial" w:hAnsi="Arial" w:cs="Arial"/>
          <w:sz w:val="22"/>
          <w:szCs w:val="22"/>
        </w:rPr>
        <w:t xml:space="preserve"> as well as other agencies.</w:t>
      </w:r>
      <w:r w:rsidR="00A32CE9">
        <w:rPr>
          <w:rFonts w:ascii="Arial" w:hAnsi="Arial" w:cs="Arial"/>
          <w:sz w:val="22"/>
          <w:szCs w:val="22"/>
        </w:rPr>
        <w:t xml:space="preserve">  The time to no</w:t>
      </w:r>
      <w:r w:rsidR="00D77DF4">
        <w:rPr>
          <w:rFonts w:ascii="Arial" w:hAnsi="Arial" w:cs="Arial"/>
          <w:sz w:val="22"/>
          <w:szCs w:val="22"/>
        </w:rPr>
        <w:t>tify may be as short as 14 days (i.e., Vermont).</w:t>
      </w:r>
      <w:r w:rsidR="00744295">
        <w:rPr>
          <w:rFonts w:ascii="Arial" w:hAnsi="Arial" w:cs="Arial"/>
          <w:sz w:val="22"/>
          <w:szCs w:val="22"/>
        </w:rPr>
        <w:t xml:space="preserve">  In addition, some states (i.e., Florida) require notice to the Attorney General after a risk assessment is completed and it is determined that the incident does not rise to the level of a breach.</w:t>
      </w:r>
    </w:p>
    <w:p w14:paraId="13D2A15B" w14:textId="77777777" w:rsidR="00D77DF4" w:rsidRDefault="00D77DF4" w:rsidP="00086882">
      <w:pPr>
        <w:jc w:val="both"/>
        <w:rPr>
          <w:rFonts w:ascii="Arial" w:hAnsi="Arial" w:cs="Arial"/>
          <w:b/>
          <w:sz w:val="22"/>
          <w:szCs w:val="22"/>
        </w:rPr>
      </w:pPr>
    </w:p>
    <w:p w14:paraId="13D2A15C" w14:textId="77777777" w:rsidR="00744295" w:rsidRDefault="00744295" w:rsidP="00086882">
      <w:pPr>
        <w:jc w:val="both"/>
        <w:rPr>
          <w:rFonts w:ascii="Arial" w:hAnsi="Arial" w:cs="Arial"/>
          <w:b/>
          <w:sz w:val="22"/>
          <w:szCs w:val="22"/>
        </w:rPr>
      </w:pPr>
    </w:p>
    <w:p w14:paraId="13D2A15D" w14:textId="77777777" w:rsidR="00A32B38" w:rsidRDefault="00A32B38" w:rsidP="00086882">
      <w:pPr>
        <w:jc w:val="both"/>
        <w:rPr>
          <w:rFonts w:ascii="Arial" w:hAnsi="Arial" w:cs="Arial"/>
          <w:b/>
          <w:sz w:val="22"/>
          <w:szCs w:val="22"/>
        </w:rPr>
      </w:pPr>
    </w:p>
    <w:p w14:paraId="13D2A15E" w14:textId="77777777" w:rsidR="00086882" w:rsidRPr="00B96E2C" w:rsidRDefault="00730FCC" w:rsidP="00086882">
      <w:pPr>
        <w:jc w:val="both"/>
        <w:rPr>
          <w:rFonts w:ascii="Arial" w:hAnsi="Arial" w:cs="Arial"/>
          <w:b/>
          <w:sz w:val="22"/>
          <w:szCs w:val="22"/>
        </w:rPr>
      </w:pPr>
      <w:r w:rsidRPr="00B96E2C">
        <w:rPr>
          <w:rFonts w:ascii="Arial" w:hAnsi="Arial" w:cs="Arial"/>
          <w:b/>
          <w:sz w:val="22"/>
          <w:szCs w:val="22"/>
        </w:rPr>
        <w:t>IV</w:t>
      </w:r>
      <w:r w:rsidR="00086882" w:rsidRPr="00B96E2C">
        <w:rPr>
          <w:rFonts w:ascii="Arial" w:hAnsi="Arial" w:cs="Arial"/>
          <w:b/>
          <w:sz w:val="22"/>
          <w:szCs w:val="22"/>
        </w:rPr>
        <w:t xml:space="preserve">. </w:t>
      </w:r>
      <w:r w:rsidR="00086882" w:rsidRPr="00B96E2C">
        <w:rPr>
          <w:rFonts w:ascii="Arial" w:hAnsi="Arial" w:cs="Arial"/>
          <w:b/>
          <w:sz w:val="22"/>
          <w:szCs w:val="22"/>
        </w:rPr>
        <w:tab/>
        <w:t>PHASE 1: DISCOVERY</w:t>
      </w:r>
    </w:p>
    <w:p w14:paraId="13D2A15F" w14:textId="77777777" w:rsidR="00730FCC" w:rsidRPr="00B96E2C" w:rsidRDefault="00730FCC" w:rsidP="00086882">
      <w:pPr>
        <w:jc w:val="both"/>
        <w:rPr>
          <w:rFonts w:ascii="Arial" w:hAnsi="Arial" w:cs="Arial"/>
          <w:b/>
          <w:sz w:val="22"/>
          <w:szCs w:val="22"/>
        </w:rPr>
      </w:pPr>
    </w:p>
    <w:p w14:paraId="13D2A160" w14:textId="77777777" w:rsidR="00730FCC" w:rsidRPr="00B96E2C" w:rsidRDefault="00730FCC" w:rsidP="00730FCC">
      <w:pPr>
        <w:ind w:firstLine="720"/>
        <w:jc w:val="both"/>
        <w:rPr>
          <w:rFonts w:ascii="Arial" w:hAnsi="Arial" w:cs="Arial"/>
          <w:b/>
          <w:sz w:val="22"/>
          <w:szCs w:val="22"/>
        </w:rPr>
      </w:pPr>
      <w:r w:rsidRPr="00B96E2C">
        <w:rPr>
          <w:rFonts w:ascii="Arial" w:hAnsi="Arial" w:cs="Arial"/>
          <w:sz w:val="22"/>
          <w:szCs w:val="22"/>
        </w:rPr>
        <w:lastRenderedPageBreak/>
        <w:t>A.</w:t>
      </w:r>
      <w:r w:rsidRPr="00B96E2C">
        <w:rPr>
          <w:rFonts w:ascii="Arial" w:hAnsi="Arial" w:cs="Arial"/>
          <w:b/>
          <w:sz w:val="22"/>
          <w:szCs w:val="22"/>
        </w:rPr>
        <w:tab/>
      </w:r>
      <w:r w:rsidRPr="00B96E2C">
        <w:rPr>
          <w:rFonts w:ascii="Arial" w:hAnsi="Arial" w:cs="Arial"/>
          <w:caps/>
          <w:sz w:val="22"/>
          <w:szCs w:val="22"/>
          <w:u w:val="single"/>
        </w:rPr>
        <w:t>OBJECTIVES</w:t>
      </w:r>
      <w:r w:rsidRPr="00B96E2C">
        <w:rPr>
          <w:rFonts w:ascii="Arial" w:hAnsi="Arial" w:cs="Arial"/>
          <w:caps/>
          <w:sz w:val="22"/>
          <w:szCs w:val="22"/>
        </w:rPr>
        <w:t xml:space="preserve">. </w:t>
      </w:r>
    </w:p>
    <w:p w14:paraId="13D2A161" w14:textId="77777777" w:rsidR="00730FCC" w:rsidRPr="00B96E2C" w:rsidRDefault="00730FCC" w:rsidP="00730FCC">
      <w:pPr>
        <w:ind w:firstLine="720"/>
        <w:jc w:val="both"/>
        <w:rPr>
          <w:rFonts w:ascii="Arial" w:hAnsi="Arial" w:cs="Arial"/>
          <w:sz w:val="22"/>
          <w:szCs w:val="22"/>
        </w:rPr>
      </w:pPr>
    </w:p>
    <w:p w14:paraId="13D2A162" w14:textId="77777777" w:rsidR="00730FCC" w:rsidRPr="0012560A" w:rsidRDefault="00730FCC" w:rsidP="00730FCC">
      <w:pPr>
        <w:ind w:left="720" w:firstLine="720"/>
        <w:jc w:val="both"/>
        <w:rPr>
          <w:rFonts w:ascii="Arial" w:hAnsi="Arial" w:cs="Arial"/>
          <w:sz w:val="22"/>
          <w:szCs w:val="22"/>
        </w:rPr>
      </w:pPr>
      <w:r w:rsidRPr="00B96E2C">
        <w:rPr>
          <w:rFonts w:ascii="Arial" w:hAnsi="Arial" w:cs="Arial"/>
          <w:sz w:val="22"/>
          <w:szCs w:val="22"/>
        </w:rPr>
        <w:t>1.</w:t>
      </w:r>
      <w:r w:rsidRPr="00B96E2C">
        <w:rPr>
          <w:rFonts w:ascii="Arial" w:hAnsi="Arial" w:cs="Arial"/>
          <w:sz w:val="22"/>
          <w:szCs w:val="22"/>
        </w:rPr>
        <w:tab/>
        <w:t xml:space="preserve">Notify appropriate members of the IRT and </w:t>
      </w:r>
      <w:r w:rsidR="002F5E01">
        <w:rPr>
          <w:rFonts w:ascii="Arial" w:hAnsi="Arial" w:cs="Arial"/>
          <w:sz w:val="22"/>
          <w:szCs w:val="22"/>
        </w:rPr>
        <w:t xml:space="preserve">Board of Trustees </w:t>
      </w:r>
      <w:r w:rsidRPr="00B96E2C">
        <w:rPr>
          <w:rFonts w:ascii="Arial" w:hAnsi="Arial" w:cs="Arial"/>
          <w:sz w:val="22"/>
          <w:szCs w:val="22"/>
        </w:rPr>
        <w:t xml:space="preserve">that </w:t>
      </w:r>
      <w:r w:rsidRPr="0012560A">
        <w:rPr>
          <w:rFonts w:ascii="Arial" w:hAnsi="Arial" w:cs="Arial"/>
          <w:sz w:val="22"/>
          <w:szCs w:val="22"/>
        </w:rPr>
        <w:t xml:space="preserve">there has been a possible incident.   </w:t>
      </w:r>
    </w:p>
    <w:p w14:paraId="13D2A163" w14:textId="77777777" w:rsidR="0012560A" w:rsidRPr="0012560A" w:rsidRDefault="0012560A" w:rsidP="00730FCC">
      <w:pPr>
        <w:ind w:left="720" w:firstLine="720"/>
        <w:jc w:val="both"/>
        <w:rPr>
          <w:rFonts w:ascii="Arial" w:hAnsi="Arial" w:cs="Arial"/>
          <w:sz w:val="22"/>
          <w:szCs w:val="22"/>
        </w:rPr>
      </w:pPr>
    </w:p>
    <w:p w14:paraId="13D2A164" w14:textId="77777777" w:rsidR="0012560A" w:rsidRPr="00AD2403" w:rsidRDefault="0012560A" w:rsidP="00AD2403">
      <w:pPr>
        <w:ind w:left="720" w:firstLine="720"/>
        <w:jc w:val="both"/>
        <w:rPr>
          <w:rFonts w:ascii="Arial" w:hAnsi="Arial" w:cs="Arial"/>
          <w:sz w:val="22"/>
          <w:szCs w:val="22"/>
        </w:rPr>
      </w:pPr>
      <w:r w:rsidRPr="00AD2403">
        <w:rPr>
          <w:rFonts w:ascii="Arial" w:hAnsi="Arial" w:cs="Arial"/>
          <w:sz w:val="22"/>
          <w:szCs w:val="22"/>
        </w:rPr>
        <w:t>2.</w:t>
      </w:r>
      <w:r w:rsidRPr="00AD2403">
        <w:rPr>
          <w:rFonts w:ascii="Arial" w:hAnsi="Arial" w:cs="Arial"/>
          <w:sz w:val="22"/>
          <w:szCs w:val="22"/>
        </w:rPr>
        <w:tab/>
        <w:t>If possible, assign a “Threat Level” to the privacy incident: (</w:t>
      </w:r>
      <w:r w:rsidRPr="00AD2403">
        <w:rPr>
          <w:rFonts w:ascii="Arial" w:hAnsi="Arial" w:cs="Arial"/>
          <w:b/>
          <w:color w:val="FF0000"/>
          <w:sz w:val="22"/>
          <w:szCs w:val="22"/>
        </w:rPr>
        <w:t xml:space="preserve">RED, </w:t>
      </w:r>
      <w:r w:rsidRPr="00AD2403">
        <w:rPr>
          <w:rFonts w:ascii="Arial" w:hAnsi="Arial" w:cs="Arial"/>
          <w:b/>
          <w:color w:val="E3DE00"/>
          <w:sz w:val="22"/>
          <w:szCs w:val="22"/>
        </w:rPr>
        <w:t>YELLOW</w:t>
      </w:r>
      <w:r>
        <w:rPr>
          <w:rFonts w:ascii="Arial" w:hAnsi="Arial" w:cs="Arial"/>
          <w:b/>
          <w:color w:val="E3DE00"/>
          <w:sz w:val="22"/>
          <w:szCs w:val="22"/>
        </w:rPr>
        <w:t xml:space="preserve"> </w:t>
      </w:r>
      <w:r w:rsidRPr="00AD2403">
        <w:rPr>
          <w:rFonts w:ascii="Arial" w:hAnsi="Arial" w:cs="Arial"/>
          <w:color w:val="000000" w:themeColor="text1"/>
          <w:sz w:val="22"/>
          <w:szCs w:val="22"/>
        </w:rPr>
        <w:t>or</w:t>
      </w:r>
      <w:r w:rsidRPr="00AD2403">
        <w:rPr>
          <w:rFonts w:ascii="Arial" w:hAnsi="Arial" w:cs="Arial"/>
          <w:sz w:val="22"/>
          <w:szCs w:val="22"/>
        </w:rPr>
        <w:t xml:space="preserve"> </w:t>
      </w:r>
      <w:r w:rsidRPr="00AD2403">
        <w:rPr>
          <w:rFonts w:ascii="Arial" w:hAnsi="Arial" w:cs="Arial"/>
          <w:b/>
          <w:color w:val="00B050"/>
          <w:sz w:val="22"/>
          <w:szCs w:val="22"/>
        </w:rPr>
        <w:t>GREEN</w:t>
      </w:r>
      <w:r w:rsidRPr="00AD2403">
        <w:rPr>
          <w:rFonts w:ascii="Arial" w:hAnsi="Arial" w:cs="Arial"/>
          <w:color w:val="000000" w:themeColor="text1"/>
          <w:sz w:val="22"/>
          <w:szCs w:val="22"/>
        </w:rPr>
        <w:t>).</w:t>
      </w:r>
    </w:p>
    <w:p w14:paraId="13D2A165" w14:textId="77777777" w:rsidR="00730FCC" w:rsidRPr="0012560A" w:rsidRDefault="00730FCC" w:rsidP="00730FCC">
      <w:pPr>
        <w:ind w:left="720" w:firstLine="720"/>
        <w:jc w:val="both"/>
        <w:rPr>
          <w:rFonts w:ascii="Arial" w:hAnsi="Arial" w:cs="Arial"/>
          <w:sz w:val="22"/>
          <w:szCs w:val="22"/>
        </w:rPr>
      </w:pPr>
    </w:p>
    <w:p w14:paraId="13D2A166" w14:textId="77777777" w:rsidR="00730FCC" w:rsidRPr="00B96E2C" w:rsidRDefault="0012560A" w:rsidP="00730FCC">
      <w:pPr>
        <w:ind w:left="720" w:firstLine="720"/>
        <w:jc w:val="both"/>
        <w:rPr>
          <w:rFonts w:ascii="Arial" w:hAnsi="Arial" w:cs="Arial"/>
          <w:sz w:val="22"/>
          <w:szCs w:val="22"/>
        </w:rPr>
      </w:pPr>
      <w:r>
        <w:rPr>
          <w:rFonts w:ascii="Arial" w:hAnsi="Arial" w:cs="Arial"/>
          <w:sz w:val="22"/>
          <w:szCs w:val="22"/>
        </w:rPr>
        <w:t>3</w:t>
      </w:r>
      <w:r w:rsidR="00730FCC" w:rsidRPr="00B96E2C">
        <w:rPr>
          <w:rFonts w:ascii="Arial" w:hAnsi="Arial" w:cs="Arial"/>
          <w:sz w:val="22"/>
          <w:szCs w:val="22"/>
        </w:rPr>
        <w:t>.</w:t>
      </w:r>
      <w:r w:rsidR="00730FCC" w:rsidRPr="00B96E2C">
        <w:rPr>
          <w:rFonts w:ascii="Arial" w:hAnsi="Arial" w:cs="Arial"/>
          <w:sz w:val="22"/>
          <w:szCs w:val="22"/>
        </w:rPr>
        <w:tab/>
        <w:t xml:space="preserve">Investigate and assess to confirm or rule out the existence of a data breach, and engage forensics experts as needed. </w:t>
      </w:r>
    </w:p>
    <w:p w14:paraId="13D2A167" w14:textId="77777777" w:rsidR="00730FCC" w:rsidRPr="00B96E2C" w:rsidRDefault="00730FCC" w:rsidP="00730FCC">
      <w:pPr>
        <w:ind w:left="720" w:firstLine="720"/>
        <w:jc w:val="both"/>
        <w:rPr>
          <w:rFonts w:ascii="Arial" w:hAnsi="Arial" w:cs="Arial"/>
          <w:sz w:val="22"/>
          <w:szCs w:val="22"/>
        </w:rPr>
      </w:pPr>
    </w:p>
    <w:p w14:paraId="13D2A168" w14:textId="77777777" w:rsidR="00730FCC" w:rsidRPr="00B96E2C" w:rsidRDefault="00B316D5" w:rsidP="00730FCC">
      <w:pPr>
        <w:ind w:left="720" w:firstLine="720"/>
        <w:jc w:val="both"/>
        <w:rPr>
          <w:rFonts w:ascii="Arial" w:hAnsi="Arial" w:cs="Arial"/>
          <w:sz w:val="22"/>
          <w:szCs w:val="22"/>
        </w:rPr>
      </w:pPr>
      <w:r>
        <w:rPr>
          <w:rFonts w:ascii="Arial" w:hAnsi="Arial" w:cs="Arial"/>
          <w:sz w:val="22"/>
          <w:szCs w:val="22"/>
        </w:rPr>
        <w:t>4</w:t>
      </w:r>
      <w:r w:rsidR="00730FCC" w:rsidRPr="00B96E2C">
        <w:rPr>
          <w:rFonts w:ascii="Arial" w:hAnsi="Arial" w:cs="Arial"/>
          <w:sz w:val="22"/>
          <w:szCs w:val="22"/>
        </w:rPr>
        <w:t>.</w:t>
      </w:r>
      <w:r w:rsidR="00730FCC" w:rsidRPr="00B96E2C">
        <w:rPr>
          <w:rFonts w:ascii="Arial" w:hAnsi="Arial" w:cs="Arial"/>
          <w:sz w:val="22"/>
          <w:szCs w:val="22"/>
        </w:rPr>
        <w:tab/>
        <w:t>Contain the breach, if needed, and insofar as possible.</w:t>
      </w:r>
    </w:p>
    <w:p w14:paraId="13D2A169" w14:textId="77777777" w:rsidR="00730FCC" w:rsidRPr="00B96E2C" w:rsidRDefault="00730FCC" w:rsidP="00730FCC">
      <w:pPr>
        <w:ind w:left="720" w:firstLine="720"/>
        <w:jc w:val="both"/>
        <w:rPr>
          <w:rFonts w:ascii="Arial" w:hAnsi="Arial" w:cs="Arial"/>
          <w:sz w:val="22"/>
          <w:szCs w:val="22"/>
        </w:rPr>
      </w:pPr>
    </w:p>
    <w:p w14:paraId="13D2A16A" w14:textId="77777777" w:rsidR="00730FCC" w:rsidRPr="00B96E2C" w:rsidRDefault="00B316D5" w:rsidP="00730FCC">
      <w:pPr>
        <w:ind w:left="720" w:firstLine="720"/>
        <w:jc w:val="both"/>
        <w:rPr>
          <w:rFonts w:ascii="Arial" w:hAnsi="Arial" w:cs="Arial"/>
          <w:sz w:val="22"/>
          <w:szCs w:val="22"/>
        </w:rPr>
      </w:pPr>
      <w:r>
        <w:rPr>
          <w:rFonts w:ascii="Arial" w:hAnsi="Arial" w:cs="Arial"/>
          <w:sz w:val="22"/>
          <w:szCs w:val="22"/>
        </w:rPr>
        <w:t>5</w:t>
      </w:r>
      <w:r w:rsidR="00730FCC" w:rsidRPr="00B96E2C">
        <w:rPr>
          <w:rFonts w:ascii="Arial" w:hAnsi="Arial" w:cs="Arial"/>
          <w:sz w:val="22"/>
          <w:szCs w:val="22"/>
        </w:rPr>
        <w:t>.</w:t>
      </w:r>
      <w:r w:rsidR="00730FCC" w:rsidRPr="00B96E2C">
        <w:rPr>
          <w:rFonts w:ascii="Arial" w:hAnsi="Arial" w:cs="Arial"/>
          <w:sz w:val="22"/>
          <w:szCs w:val="22"/>
        </w:rPr>
        <w:tab/>
        <w:t xml:space="preserve">If credit cardholder data is involved, follow bankcard </w:t>
      </w:r>
      <w:r w:rsidR="00A64C9D">
        <w:rPr>
          <w:rFonts w:ascii="Arial" w:hAnsi="Arial" w:cs="Arial"/>
          <w:sz w:val="22"/>
          <w:szCs w:val="22"/>
        </w:rPr>
        <w:t>Organization</w:t>
      </w:r>
      <w:r w:rsidR="00730FCC" w:rsidRPr="00B96E2C">
        <w:rPr>
          <w:rFonts w:ascii="Arial" w:hAnsi="Arial" w:cs="Arial"/>
          <w:sz w:val="22"/>
          <w:szCs w:val="22"/>
        </w:rPr>
        <w:t xml:space="preserve"> requirements. (Bankcard companies, specifically Visa and MasterCard, have detailed requirements for reporting security incidents and the suspected or confirmed compromise of cardholder data. Reporting is typically required within 24 hours of compromise.)</w:t>
      </w:r>
    </w:p>
    <w:p w14:paraId="13D2A16B" w14:textId="77777777" w:rsidR="00730FCC" w:rsidRPr="00B96E2C" w:rsidRDefault="00730FCC" w:rsidP="00730FCC">
      <w:pPr>
        <w:ind w:left="720" w:firstLine="720"/>
        <w:jc w:val="both"/>
        <w:rPr>
          <w:rFonts w:ascii="Arial" w:hAnsi="Arial" w:cs="Arial"/>
          <w:sz w:val="22"/>
          <w:szCs w:val="22"/>
        </w:rPr>
      </w:pPr>
    </w:p>
    <w:p w14:paraId="13D2A16C" w14:textId="77777777" w:rsidR="00730FCC" w:rsidRPr="00B96E2C" w:rsidRDefault="00B316D5" w:rsidP="00730FCC">
      <w:pPr>
        <w:ind w:left="720" w:firstLine="720"/>
        <w:jc w:val="both"/>
        <w:rPr>
          <w:rFonts w:ascii="Arial" w:hAnsi="Arial" w:cs="Arial"/>
          <w:sz w:val="22"/>
          <w:szCs w:val="22"/>
        </w:rPr>
      </w:pPr>
      <w:r>
        <w:rPr>
          <w:rFonts w:ascii="Arial" w:hAnsi="Arial" w:cs="Arial"/>
          <w:sz w:val="22"/>
          <w:szCs w:val="22"/>
        </w:rPr>
        <w:t>6</w:t>
      </w:r>
      <w:r w:rsidR="00730FCC" w:rsidRPr="00B96E2C">
        <w:rPr>
          <w:rFonts w:ascii="Arial" w:hAnsi="Arial" w:cs="Arial"/>
          <w:sz w:val="22"/>
          <w:szCs w:val="22"/>
        </w:rPr>
        <w:t>.</w:t>
      </w:r>
      <w:r w:rsidR="00730FCC" w:rsidRPr="00B96E2C">
        <w:rPr>
          <w:rFonts w:ascii="Arial" w:hAnsi="Arial" w:cs="Arial"/>
          <w:sz w:val="22"/>
          <w:szCs w:val="22"/>
        </w:rPr>
        <w:tab/>
        <w:t xml:space="preserve">Report findings to the designated IRT members and the </w:t>
      </w:r>
      <w:r w:rsidR="002F5E01">
        <w:rPr>
          <w:rFonts w:ascii="Arial" w:hAnsi="Arial" w:cs="Arial"/>
          <w:sz w:val="22"/>
          <w:szCs w:val="22"/>
        </w:rPr>
        <w:t>Board of Trustees</w:t>
      </w:r>
      <w:r w:rsidR="00730FCC" w:rsidRPr="00B96E2C">
        <w:rPr>
          <w:rFonts w:ascii="Arial" w:hAnsi="Arial" w:cs="Arial"/>
          <w:sz w:val="22"/>
          <w:szCs w:val="22"/>
        </w:rPr>
        <w:t xml:space="preserve"> for approval to close the incident or move on to Phase 2: Investigation.</w:t>
      </w:r>
    </w:p>
    <w:p w14:paraId="13D2A16D" w14:textId="77777777" w:rsidR="00730FCC" w:rsidRPr="00B96E2C" w:rsidRDefault="00730FCC" w:rsidP="00086882">
      <w:pPr>
        <w:jc w:val="both"/>
        <w:rPr>
          <w:rFonts w:ascii="Arial" w:hAnsi="Arial" w:cs="Arial"/>
          <w:b/>
          <w:sz w:val="22"/>
          <w:szCs w:val="22"/>
        </w:rPr>
      </w:pPr>
    </w:p>
    <w:p w14:paraId="13D2A16E" w14:textId="77777777" w:rsidR="00F11D2E" w:rsidRPr="004D3471" w:rsidRDefault="00F11D2E" w:rsidP="00F11D2E">
      <w:pPr>
        <w:jc w:val="both"/>
        <w:rPr>
          <w:rFonts w:ascii="Arial" w:hAnsi="Arial" w:cs="Arial"/>
          <w:sz w:val="22"/>
          <w:szCs w:val="22"/>
        </w:rPr>
      </w:pPr>
      <w:r w:rsidRPr="004D3471">
        <w:rPr>
          <w:rFonts w:ascii="Arial" w:hAnsi="Arial" w:cs="Arial"/>
          <w:b/>
          <w:sz w:val="22"/>
          <w:szCs w:val="22"/>
        </w:rPr>
        <w:tab/>
      </w:r>
      <w:r w:rsidR="006521D5">
        <w:rPr>
          <w:rFonts w:ascii="Arial" w:hAnsi="Arial" w:cs="Arial"/>
          <w:sz w:val="22"/>
          <w:szCs w:val="22"/>
        </w:rPr>
        <w:t>B</w:t>
      </w:r>
      <w:r w:rsidRPr="004D3471">
        <w:rPr>
          <w:rFonts w:ascii="Arial" w:hAnsi="Arial" w:cs="Arial"/>
          <w:sz w:val="22"/>
          <w:szCs w:val="22"/>
        </w:rPr>
        <w:t>.</w:t>
      </w:r>
      <w:r w:rsidRPr="004D3471">
        <w:rPr>
          <w:rFonts w:ascii="Arial" w:hAnsi="Arial" w:cs="Arial"/>
          <w:sz w:val="22"/>
          <w:szCs w:val="22"/>
        </w:rPr>
        <w:tab/>
      </w:r>
      <w:r w:rsidRPr="004D3471">
        <w:rPr>
          <w:rFonts w:ascii="Arial" w:hAnsi="Arial" w:cs="Arial"/>
          <w:sz w:val="22"/>
          <w:szCs w:val="22"/>
          <w:u w:val="single"/>
        </w:rPr>
        <w:t>CONCLUSIONS</w:t>
      </w:r>
      <w:r w:rsidR="0012719A" w:rsidRPr="004D3471">
        <w:rPr>
          <w:rFonts w:ascii="Arial" w:hAnsi="Arial" w:cs="Arial"/>
          <w:sz w:val="22"/>
          <w:szCs w:val="22"/>
          <w:u w:val="single"/>
        </w:rPr>
        <w:t xml:space="preserve"> FOR PHASE</w:t>
      </w:r>
      <w:r w:rsidR="00876A30">
        <w:rPr>
          <w:rFonts w:ascii="Arial" w:hAnsi="Arial" w:cs="Arial"/>
          <w:sz w:val="22"/>
          <w:szCs w:val="22"/>
          <w:u w:val="single"/>
        </w:rPr>
        <w:t xml:space="preserve"> 1</w:t>
      </w:r>
      <w:r w:rsidRPr="004D3471">
        <w:rPr>
          <w:rFonts w:ascii="Arial" w:hAnsi="Arial" w:cs="Arial"/>
          <w:sz w:val="22"/>
          <w:szCs w:val="22"/>
        </w:rPr>
        <w:t xml:space="preserve">.  If the initial discovery efforts </w:t>
      </w:r>
      <w:r w:rsidR="00296776" w:rsidRPr="004D3471">
        <w:rPr>
          <w:rFonts w:ascii="Arial" w:hAnsi="Arial" w:cs="Arial"/>
          <w:sz w:val="22"/>
          <w:szCs w:val="22"/>
        </w:rPr>
        <w:t xml:space="preserve">indicate that </w:t>
      </w:r>
      <w:r w:rsidR="0092275F">
        <w:rPr>
          <w:rFonts w:ascii="Arial" w:hAnsi="Arial" w:cs="Arial"/>
          <w:sz w:val="22"/>
          <w:szCs w:val="22"/>
        </w:rPr>
        <w:t>PII</w:t>
      </w:r>
      <w:r w:rsidRPr="004D3471">
        <w:rPr>
          <w:rFonts w:ascii="Arial" w:hAnsi="Arial" w:cs="Arial"/>
          <w:sz w:val="22"/>
          <w:szCs w:val="22"/>
        </w:rPr>
        <w:t xml:space="preserve">/PHI has been compromised or lost, or that there may be significant negative impact to the organization and/or the persons whose data has been compromised, the incident should move to the Investigation </w:t>
      </w:r>
      <w:r w:rsidR="004918DD" w:rsidRPr="004D3471">
        <w:rPr>
          <w:rFonts w:ascii="Arial" w:hAnsi="Arial" w:cs="Arial"/>
          <w:sz w:val="22"/>
          <w:szCs w:val="22"/>
        </w:rPr>
        <w:t>phase</w:t>
      </w:r>
      <w:r w:rsidRPr="004D3471">
        <w:rPr>
          <w:rFonts w:ascii="Arial" w:hAnsi="Arial" w:cs="Arial"/>
          <w:sz w:val="22"/>
          <w:szCs w:val="22"/>
        </w:rPr>
        <w:t>. It is not necessary to determine at this point what other specific actions are needed. The IRT need only establish that action is warranted and that further investigation and assessment are advisable.</w:t>
      </w:r>
      <w:r w:rsidR="006B317F">
        <w:rPr>
          <w:rFonts w:ascii="Arial" w:hAnsi="Arial" w:cs="Arial"/>
          <w:sz w:val="22"/>
          <w:szCs w:val="22"/>
        </w:rPr>
        <w:t xml:space="preserve">  Reminder: All incident reports and correspondence should be made to counsel’s attention and indicated directly on the reporting documents themselves (to preserve attorney-client privilege).</w:t>
      </w:r>
    </w:p>
    <w:p w14:paraId="13D2A16F" w14:textId="77777777" w:rsidR="00F11D2E" w:rsidRDefault="00F11D2E" w:rsidP="00F11D2E">
      <w:pPr>
        <w:jc w:val="both"/>
        <w:rPr>
          <w:rFonts w:ascii="TKTypeRegular" w:hAnsi="TKTypeRegular"/>
        </w:rPr>
      </w:pPr>
    </w:p>
    <w:p w14:paraId="13D2A170" w14:textId="77777777" w:rsidR="00F11D2E" w:rsidRDefault="00F11D2E" w:rsidP="00F11D2E">
      <w:pPr>
        <w:jc w:val="both"/>
        <w:rPr>
          <w:rFonts w:ascii="TKTypeRegular" w:hAnsi="TKTypeRegular"/>
          <w:sz w:val="22"/>
          <w:szCs w:val="22"/>
        </w:rPr>
      </w:pPr>
    </w:p>
    <w:p w14:paraId="13D2A171" w14:textId="77777777" w:rsidR="0012719A" w:rsidRPr="004D3471" w:rsidRDefault="0012719A" w:rsidP="0012719A">
      <w:pPr>
        <w:jc w:val="both"/>
        <w:rPr>
          <w:rFonts w:ascii="Arial" w:hAnsi="Arial" w:cs="Arial"/>
          <w:b/>
          <w:sz w:val="22"/>
          <w:szCs w:val="22"/>
        </w:rPr>
      </w:pPr>
      <w:r w:rsidRPr="004D3471">
        <w:rPr>
          <w:rFonts w:ascii="Arial" w:hAnsi="Arial" w:cs="Arial"/>
          <w:b/>
          <w:sz w:val="22"/>
          <w:szCs w:val="22"/>
        </w:rPr>
        <w:t xml:space="preserve">V. </w:t>
      </w:r>
      <w:r w:rsidRPr="004D3471">
        <w:rPr>
          <w:rFonts w:ascii="Arial" w:hAnsi="Arial" w:cs="Arial"/>
          <w:b/>
          <w:sz w:val="22"/>
          <w:szCs w:val="22"/>
        </w:rPr>
        <w:tab/>
        <w:t>PHASE 2: INVESTIGATION</w:t>
      </w:r>
    </w:p>
    <w:p w14:paraId="13D2A172" w14:textId="77777777" w:rsidR="0012719A" w:rsidRPr="004D3471" w:rsidRDefault="0012719A" w:rsidP="0012719A">
      <w:pPr>
        <w:jc w:val="both"/>
        <w:rPr>
          <w:rFonts w:ascii="Arial" w:hAnsi="Arial" w:cs="Arial"/>
          <w:b/>
          <w:sz w:val="22"/>
          <w:szCs w:val="22"/>
        </w:rPr>
      </w:pPr>
    </w:p>
    <w:p w14:paraId="13D2A173" w14:textId="77777777" w:rsidR="0012719A" w:rsidRPr="00220BA7" w:rsidRDefault="0012719A" w:rsidP="0012719A">
      <w:pPr>
        <w:ind w:firstLine="720"/>
        <w:jc w:val="both"/>
        <w:rPr>
          <w:rFonts w:ascii="Arial" w:hAnsi="Arial" w:cs="Arial"/>
          <w:sz w:val="22"/>
          <w:szCs w:val="22"/>
        </w:rPr>
      </w:pPr>
      <w:r w:rsidRPr="00220BA7">
        <w:rPr>
          <w:rFonts w:ascii="Arial" w:hAnsi="Arial" w:cs="Arial"/>
          <w:sz w:val="22"/>
          <w:szCs w:val="22"/>
        </w:rPr>
        <w:t>A.</w:t>
      </w:r>
      <w:r w:rsidRPr="00220BA7">
        <w:rPr>
          <w:rFonts w:ascii="Arial" w:hAnsi="Arial" w:cs="Arial"/>
          <w:b/>
          <w:sz w:val="22"/>
          <w:szCs w:val="22"/>
        </w:rPr>
        <w:tab/>
      </w:r>
      <w:r w:rsidRPr="00220BA7">
        <w:rPr>
          <w:rFonts w:ascii="Arial" w:hAnsi="Arial" w:cs="Arial"/>
          <w:caps/>
          <w:sz w:val="22"/>
          <w:szCs w:val="22"/>
          <w:u w:val="single"/>
        </w:rPr>
        <w:t>OBJECTIVE</w:t>
      </w:r>
      <w:r w:rsidRPr="00220BA7">
        <w:rPr>
          <w:rFonts w:ascii="Arial" w:hAnsi="Arial" w:cs="Arial"/>
          <w:caps/>
          <w:sz w:val="22"/>
          <w:szCs w:val="22"/>
        </w:rPr>
        <w:t>.</w:t>
      </w:r>
      <w:r w:rsidR="00AB3F96" w:rsidRPr="00220BA7">
        <w:rPr>
          <w:rFonts w:ascii="Arial" w:hAnsi="Arial" w:cs="Arial"/>
          <w:caps/>
          <w:sz w:val="22"/>
          <w:szCs w:val="22"/>
        </w:rPr>
        <w:t xml:space="preserve">  </w:t>
      </w:r>
      <w:r w:rsidR="00AB3F96" w:rsidRPr="00220BA7">
        <w:rPr>
          <w:rFonts w:ascii="Arial" w:hAnsi="Arial" w:cs="Arial"/>
          <w:sz w:val="22"/>
          <w:szCs w:val="22"/>
        </w:rPr>
        <w:t>During this Investigation Phase, the IRT will conduct a thorough investigation and assessment to determine what further actions need to be taken</w:t>
      </w:r>
      <w:r w:rsidR="00220BA7" w:rsidRPr="00220BA7">
        <w:rPr>
          <w:rFonts w:ascii="Arial" w:hAnsi="Arial" w:cs="Arial"/>
          <w:sz w:val="22"/>
          <w:szCs w:val="22"/>
        </w:rPr>
        <w:t xml:space="preserve"> </w:t>
      </w:r>
      <w:r w:rsidR="00220BA7" w:rsidRPr="00AD2403">
        <w:rPr>
          <w:rFonts w:ascii="Arial" w:hAnsi="Arial" w:cs="Arial"/>
          <w:sz w:val="22"/>
          <w:szCs w:val="22"/>
        </w:rPr>
        <w:t>and solidify the “Threat Level” of the incident.</w:t>
      </w:r>
    </w:p>
    <w:p w14:paraId="13D2A174" w14:textId="77777777" w:rsidR="00AB3F96" w:rsidRPr="004D3471" w:rsidRDefault="00AB3F96" w:rsidP="0012719A">
      <w:pPr>
        <w:ind w:firstLine="720"/>
        <w:jc w:val="both"/>
        <w:rPr>
          <w:rFonts w:ascii="Arial" w:hAnsi="Arial" w:cs="Arial"/>
          <w:b/>
          <w:sz w:val="22"/>
          <w:szCs w:val="22"/>
        </w:rPr>
      </w:pPr>
    </w:p>
    <w:p w14:paraId="13D2A175" w14:textId="77777777" w:rsidR="004F43A3" w:rsidRPr="004D3471" w:rsidRDefault="00AB3F96" w:rsidP="004F43A3">
      <w:pPr>
        <w:ind w:firstLine="720"/>
        <w:jc w:val="both"/>
        <w:rPr>
          <w:rFonts w:ascii="Arial" w:hAnsi="Arial" w:cs="Arial"/>
          <w:sz w:val="22"/>
          <w:szCs w:val="22"/>
        </w:rPr>
      </w:pPr>
      <w:r w:rsidRPr="004D3471">
        <w:rPr>
          <w:rFonts w:ascii="Arial" w:hAnsi="Arial" w:cs="Arial"/>
          <w:sz w:val="22"/>
          <w:szCs w:val="22"/>
        </w:rPr>
        <w:t>B.</w:t>
      </w:r>
      <w:r w:rsidRPr="004D3471">
        <w:rPr>
          <w:rFonts w:ascii="Arial" w:hAnsi="Arial" w:cs="Arial"/>
          <w:sz w:val="22"/>
          <w:szCs w:val="22"/>
        </w:rPr>
        <w:tab/>
      </w:r>
      <w:r w:rsidRPr="004D3471">
        <w:rPr>
          <w:rFonts w:ascii="Arial" w:hAnsi="Arial" w:cs="Arial"/>
          <w:sz w:val="22"/>
          <w:szCs w:val="22"/>
          <w:u w:val="single"/>
        </w:rPr>
        <w:t>FORENSICS</w:t>
      </w:r>
      <w:r w:rsidRPr="004D3471">
        <w:rPr>
          <w:rFonts w:ascii="Arial" w:hAnsi="Arial" w:cs="Arial"/>
          <w:sz w:val="22"/>
          <w:szCs w:val="22"/>
        </w:rPr>
        <w:t xml:space="preserve">.  </w:t>
      </w:r>
      <w:r w:rsidR="004F43A3" w:rsidRPr="004D3471">
        <w:rPr>
          <w:rFonts w:ascii="Arial" w:hAnsi="Arial" w:cs="Arial"/>
          <w:sz w:val="22"/>
          <w:szCs w:val="22"/>
        </w:rPr>
        <w:t>During this phase, the IRT needs to conduct an in-depth investigation to confirm that any breach has been fully contained and to determine the steps necessary to help prevent similar incidents in the future. This investigation will be conducted by a subset of the IRT and other vendors. This team will investigate to determine:</w:t>
      </w:r>
    </w:p>
    <w:p w14:paraId="13D2A176" w14:textId="77777777" w:rsidR="004F43A3" w:rsidRPr="004D3471" w:rsidRDefault="004F43A3" w:rsidP="004F43A3">
      <w:pPr>
        <w:ind w:firstLine="720"/>
        <w:jc w:val="both"/>
        <w:rPr>
          <w:rFonts w:ascii="Arial" w:hAnsi="Arial" w:cs="Arial"/>
        </w:rPr>
      </w:pPr>
    </w:p>
    <w:p w14:paraId="13D2A177" w14:textId="77777777" w:rsidR="004F43A3" w:rsidRPr="004D3471" w:rsidRDefault="004F43A3" w:rsidP="004F43A3">
      <w:pPr>
        <w:ind w:left="720" w:firstLine="720"/>
        <w:jc w:val="both"/>
        <w:rPr>
          <w:rFonts w:ascii="Arial" w:hAnsi="Arial" w:cs="Arial"/>
          <w:sz w:val="22"/>
          <w:szCs w:val="22"/>
        </w:rPr>
      </w:pPr>
      <w:r w:rsidRPr="004D3471">
        <w:rPr>
          <w:rFonts w:ascii="Arial" w:hAnsi="Arial" w:cs="Arial"/>
          <w:sz w:val="22"/>
          <w:szCs w:val="22"/>
        </w:rPr>
        <w:t xml:space="preserve">1. </w:t>
      </w:r>
      <w:r w:rsidRPr="004D3471">
        <w:rPr>
          <w:rFonts w:ascii="Arial" w:hAnsi="Arial" w:cs="Arial"/>
          <w:sz w:val="22"/>
          <w:szCs w:val="22"/>
        </w:rPr>
        <w:tab/>
        <w:t>The exact circumstances and causes of the data breach or loss;</w:t>
      </w:r>
    </w:p>
    <w:p w14:paraId="13D2A178" w14:textId="77777777" w:rsidR="004F43A3" w:rsidRPr="004D3471" w:rsidRDefault="004F43A3" w:rsidP="004F43A3">
      <w:pPr>
        <w:ind w:left="720" w:firstLine="720"/>
        <w:jc w:val="both"/>
        <w:rPr>
          <w:rFonts w:ascii="Arial" w:hAnsi="Arial" w:cs="Arial"/>
          <w:sz w:val="22"/>
          <w:szCs w:val="22"/>
        </w:rPr>
      </w:pPr>
    </w:p>
    <w:p w14:paraId="13D2A179" w14:textId="77777777" w:rsidR="004F43A3" w:rsidRPr="004D3471" w:rsidRDefault="004F43A3" w:rsidP="004F43A3">
      <w:pPr>
        <w:ind w:left="720" w:firstLine="720"/>
        <w:jc w:val="both"/>
        <w:rPr>
          <w:rFonts w:ascii="Arial" w:hAnsi="Arial" w:cs="Arial"/>
          <w:sz w:val="22"/>
          <w:szCs w:val="22"/>
        </w:rPr>
      </w:pPr>
      <w:r w:rsidRPr="004D3471">
        <w:rPr>
          <w:rFonts w:ascii="Arial" w:hAnsi="Arial" w:cs="Arial"/>
          <w:sz w:val="22"/>
          <w:szCs w:val="22"/>
        </w:rPr>
        <w:t>2.</w:t>
      </w:r>
      <w:r w:rsidRPr="004D3471">
        <w:rPr>
          <w:rFonts w:ascii="Arial" w:hAnsi="Arial" w:cs="Arial"/>
          <w:sz w:val="22"/>
          <w:szCs w:val="22"/>
        </w:rPr>
        <w:tab/>
        <w:t>Whether the data breach or loss has been stopped to the full extent possible; and</w:t>
      </w:r>
    </w:p>
    <w:p w14:paraId="13D2A17A" w14:textId="77777777" w:rsidR="004F43A3" w:rsidRPr="004D3471" w:rsidRDefault="004F43A3" w:rsidP="004F43A3">
      <w:pPr>
        <w:ind w:left="720" w:firstLine="720"/>
        <w:jc w:val="both"/>
        <w:rPr>
          <w:rFonts w:ascii="Arial" w:hAnsi="Arial" w:cs="Arial"/>
          <w:sz w:val="22"/>
          <w:szCs w:val="22"/>
        </w:rPr>
      </w:pPr>
    </w:p>
    <w:p w14:paraId="13D2A17B" w14:textId="77777777" w:rsidR="004F43A3" w:rsidRPr="004D3471" w:rsidRDefault="004F43A3" w:rsidP="004F43A3">
      <w:pPr>
        <w:ind w:left="720" w:firstLine="720"/>
        <w:jc w:val="both"/>
        <w:rPr>
          <w:rFonts w:ascii="Arial" w:hAnsi="Arial" w:cs="Arial"/>
          <w:sz w:val="22"/>
          <w:szCs w:val="22"/>
        </w:rPr>
      </w:pPr>
      <w:r w:rsidRPr="004D3471">
        <w:rPr>
          <w:rFonts w:ascii="Arial" w:hAnsi="Arial" w:cs="Arial"/>
          <w:sz w:val="22"/>
          <w:szCs w:val="22"/>
        </w:rPr>
        <w:t>3.</w:t>
      </w:r>
      <w:r w:rsidRPr="004D3471">
        <w:rPr>
          <w:rFonts w:ascii="Arial" w:hAnsi="Arial" w:cs="Arial"/>
          <w:sz w:val="22"/>
          <w:szCs w:val="22"/>
        </w:rPr>
        <w:tab/>
        <w:t>What system, process or personnel changes are necessary or advisable to help prevent similar incidents in the future.</w:t>
      </w:r>
    </w:p>
    <w:p w14:paraId="13D2A17C" w14:textId="77777777" w:rsidR="004F43A3" w:rsidRPr="004D3471" w:rsidRDefault="004F43A3" w:rsidP="004F43A3">
      <w:pPr>
        <w:jc w:val="both"/>
        <w:rPr>
          <w:rFonts w:ascii="Arial" w:hAnsi="Arial" w:cs="Arial"/>
          <w:sz w:val="22"/>
          <w:szCs w:val="22"/>
        </w:rPr>
      </w:pPr>
    </w:p>
    <w:p w14:paraId="13D2A17D" w14:textId="77777777" w:rsidR="004F43A3" w:rsidRPr="004D3471" w:rsidRDefault="004F43A3" w:rsidP="004F43A3">
      <w:pPr>
        <w:jc w:val="both"/>
        <w:rPr>
          <w:rFonts w:ascii="Arial" w:hAnsi="Arial" w:cs="Arial"/>
          <w:sz w:val="22"/>
          <w:szCs w:val="22"/>
        </w:rPr>
      </w:pPr>
      <w:r w:rsidRPr="004D3471">
        <w:rPr>
          <w:rFonts w:ascii="Arial" w:hAnsi="Arial" w:cs="Arial"/>
          <w:sz w:val="22"/>
          <w:szCs w:val="22"/>
        </w:rPr>
        <w:tab/>
        <w:t>C.</w:t>
      </w:r>
      <w:r w:rsidRPr="004D3471">
        <w:rPr>
          <w:rFonts w:ascii="Arial" w:hAnsi="Arial" w:cs="Arial"/>
          <w:sz w:val="22"/>
          <w:szCs w:val="22"/>
        </w:rPr>
        <w:tab/>
      </w:r>
      <w:r w:rsidRPr="004D3471">
        <w:rPr>
          <w:rFonts w:ascii="Arial" w:hAnsi="Arial" w:cs="Arial"/>
          <w:sz w:val="22"/>
          <w:szCs w:val="22"/>
          <w:u w:val="single"/>
        </w:rPr>
        <w:t>LEGAL</w:t>
      </w:r>
      <w:r w:rsidRPr="004D3471">
        <w:rPr>
          <w:rFonts w:ascii="Arial" w:hAnsi="Arial" w:cs="Arial"/>
          <w:sz w:val="22"/>
          <w:szCs w:val="22"/>
        </w:rPr>
        <w:t>.  External legal counsel and certain members of the IRT are responsible for investigating the legal ramifications and risks of a privacy-related incident and formulating a plan to mitigate the risks.</w:t>
      </w:r>
      <w:r w:rsidR="00615787" w:rsidRPr="004D3471">
        <w:rPr>
          <w:rFonts w:ascii="Arial" w:hAnsi="Arial" w:cs="Arial"/>
          <w:sz w:val="22"/>
          <w:szCs w:val="22"/>
        </w:rPr>
        <w:t xml:space="preserve">  Legal counsel will need to determine:</w:t>
      </w:r>
    </w:p>
    <w:p w14:paraId="13D2A17E" w14:textId="77777777" w:rsidR="00615787" w:rsidRPr="004D3471" w:rsidRDefault="00615787" w:rsidP="004F43A3">
      <w:pPr>
        <w:jc w:val="both"/>
        <w:rPr>
          <w:rFonts w:ascii="Arial" w:hAnsi="Arial" w:cs="Arial"/>
          <w:sz w:val="22"/>
          <w:szCs w:val="22"/>
        </w:rPr>
      </w:pPr>
    </w:p>
    <w:p w14:paraId="13D2A17F" w14:textId="77777777" w:rsidR="00615787" w:rsidRPr="004D3471" w:rsidRDefault="00615787" w:rsidP="00615787">
      <w:pPr>
        <w:ind w:left="720" w:firstLine="720"/>
        <w:jc w:val="both"/>
        <w:rPr>
          <w:rFonts w:ascii="Arial" w:hAnsi="Arial" w:cs="Arial"/>
          <w:sz w:val="22"/>
          <w:szCs w:val="22"/>
        </w:rPr>
      </w:pPr>
      <w:r w:rsidRPr="004D3471">
        <w:rPr>
          <w:rFonts w:ascii="Arial" w:hAnsi="Arial" w:cs="Arial"/>
          <w:sz w:val="22"/>
          <w:szCs w:val="22"/>
        </w:rPr>
        <w:t>1.</w:t>
      </w:r>
      <w:r w:rsidRPr="004D3471">
        <w:rPr>
          <w:rFonts w:ascii="Arial" w:hAnsi="Arial" w:cs="Arial"/>
          <w:sz w:val="22"/>
          <w:szCs w:val="22"/>
        </w:rPr>
        <w:tab/>
        <w:t>Are the</w:t>
      </w:r>
      <w:r w:rsidR="004918DD" w:rsidRPr="004D3471">
        <w:rPr>
          <w:rFonts w:ascii="Arial" w:hAnsi="Arial" w:cs="Arial"/>
          <w:sz w:val="22"/>
          <w:szCs w:val="22"/>
        </w:rPr>
        <w:t>re</w:t>
      </w:r>
      <w:r w:rsidRPr="004D3471">
        <w:rPr>
          <w:rFonts w:ascii="Arial" w:hAnsi="Arial" w:cs="Arial"/>
          <w:sz w:val="22"/>
          <w:szCs w:val="22"/>
        </w:rPr>
        <w:t xml:space="preserve"> possible legal liabilities from this incident such that further evidence gathering or other action is advisable?</w:t>
      </w:r>
    </w:p>
    <w:p w14:paraId="13D2A180" w14:textId="77777777" w:rsidR="00615787" w:rsidRPr="004D3471" w:rsidRDefault="00615787" w:rsidP="00615787">
      <w:pPr>
        <w:ind w:left="720" w:firstLine="720"/>
        <w:jc w:val="both"/>
        <w:rPr>
          <w:rFonts w:ascii="Arial" w:hAnsi="Arial" w:cs="Arial"/>
          <w:sz w:val="22"/>
          <w:szCs w:val="22"/>
        </w:rPr>
      </w:pPr>
    </w:p>
    <w:p w14:paraId="13D2A181" w14:textId="77777777" w:rsidR="00615787" w:rsidRPr="004D3471" w:rsidRDefault="00615787" w:rsidP="00615787">
      <w:pPr>
        <w:ind w:left="720" w:firstLine="720"/>
        <w:jc w:val="both"/>
        <w:rPr>
          <w:rFonts w:ascii="Arial" w:hAnsi="Arial" w:cs="Arial"/>
          <w:sz w:val="22"/>
          <w:szCs w:val="22"/>
        </w:rPr>
      </w:pPr>
      <w:r w:rsidRPr="004D3471">
        <w:rPr>
          <w:rFonts w:ascii="Arial" w:hAnsi="Arial" w:cs="Arial"/>
          <w:sz w:val="22"/>
          <w:szCs w:val="22"/>
        </w:rPr>
        <w:t>2.</w:t>
      </w:r>
      <w:r w:rsidRPr="004D3471">
        <w:rPr>
          <w:rFonts w:ascii="Arial" w:hAnsi="Arial" w:cs="Arial"/>
          <w:sz w:val="22"/>
          <w:szCs w:val="22"/>
        </w:rPr>
        <w:tab/>
        <w:t xml:space="preserve">Are there regulatory or contractual obligations to notify any </w:t>
      </w:r>
      <w:r w:rsidR="00A64C9D">
        <w:rPr>
          <w:rFonts w:ascii="Arial" w:hAnsi="Arial" w:cs="Arial"/>
          <w:sz w:val="22"/>
          <w:szCs w:val="22"/>
        </w:rPr>
        <w:t>administration</w:t>
      </w:r>
      <w:r w:rsidR="00A64C9D" w:rsidRPr="00842625">
        <w:rPr>
          <w:rFonts w:ascii="Arial" w:hAnsi="Arial" w:cs="Arial"/>
          <w:sz w:val="22"/>
          <w:szCs w:val="22"/>
        </w:rPr>
        <w:t xml:space="preserve">, </w:t>
      </w:r>
      <w:r w:rsidR="00A64C9D">
        <w:rPr>
          <w:rFonts w:ascii="Arial" w:hAnsi="Arial" w:cs="Arial"/>
          <w:sz w:val="22"/>
          <w:szCs w:val="22"/>
        </w:rPr>
        <w:t xml:space="preserve">staff, faculty, </w:t>
      </w:r>
      <w:r w:rsidR="00A64C9D" w:rsidRPr="00842625">
        <w:rPr>
          <w:rFonts w:ascii="Arial" w:hAnsi="Arial" w:cs="Arial"/>
          <w:sz w:val="22"/>
          <w:szCs w:val="22"/>
        </w:rPr>
        <w:t xml:space="preserve">employees, </w:t>
      </w:r>
      <w:r w:rsidR="00A64C9D">
        <w:rPr>
          <w:rFonts w:ascii="Arial" w:hAnsi="Arial" w:cs="Arial"/>
          <w:sz w:val="22"/>
          <w:szCs w:val="22"/>
        </w:rPr>
        <w:t>students, alumni, parents</w:t>
      </w:r>
      <w:r w:rsidR="002F5E01">
        <w:rPr>
          <w:rFonts w:ascii="Arial" w:hAnsi="Arial" w:cs="Arial"/>
          <w:sz w:val="22"/>
          <w:szCs w:val="22"/>
        </w:rPr>
        <w:t>,</w:t>
      </w:r>
      <w:r w:rsidR="00A64C9D">
        <w:rPr>
          <w:rFonts w:ascii="Arial" w:hAnsi="Arial" w:cs="Arial"/>
          <w:sz w:val="22"/>
          <w:szCs w:val="22"/>
        </w:rPr>
        <w:t xml:space="preserve"> donors and</w:t>
      </w:r>
      <w:r w:rsidR="00A64C9D" w:rsidRPr="00842625">
        <w:rPr>
          <w:rFonts w:ascii="Arial" w:hAnsi="Arial" w:cs="Arial"/>
          <w:sz w:val="22"/>
          <w:szCs w:val="22"/>
        </w:rPr>
        <w:t xml:space="preserve"> vendors</w:t>
      </w:r>
      <w:r w:rsidRPr="004D3471">
        <w:rPr>
          <w:rFonts w:ascii="Arial" w:hAnsi="Arial" w:cs="Arial"/>
          <w:sz w:val="22"/>
          <w:szCs w:val="22"/>
        </w:rPr>
        <w:t xml:space="preserve"> of this incident?</w:t>
      </w:r>
    </w:p>
    <w:p w14:paraId="13D2A182" w14:textId="77777777" w:rsidR="00615787" w:rsidRPr="004D3471" w:rsidRDefault="00615787" w:rsidP="00615787">
      <w:pPr>
        <w:ind w:left="720" w:firstLine="720"/>
        <w:jc w:val="both"/>
        <w:rPr>
          <w:rFonts w:ascii="Arial" w:hAnsi="Arial" w:cs="Arial"/>
          <w:sz w:val="22"/>
          <w:szCs w:val="22"/>
        </w:rPr>
      </w:pPr>
    </w:p>
    <w:p w14:paraId="13D2A183" w14:textId="77777777" w:rsidR="00615787" w:rsidRPr="004D3471" w:rsidRDefault="00615787" w:rsidP="00615787">
      <w:pPr>
        <w:ind w:left="720" w:firstLine="720"/>
        <w:jc w:val="both"/>
        <w:rPr>
          <w:rFonts w:ascii="Arial" w:hAnsi="Arial" w:cs="Arial"/>
          <w:sz w:val="22"/>
          <w:szCs w:val="22"/>
        </w:rPr>
      </w:pPr>
      <w:r w:rsidRPr="004D3471">
        <w:rPr>
          <w:rFonts w:ascii="Arial" w:hAnsi="Arial" w:cs="Arial"/>
          <w:sz w:val="22"/>
          <w:szCs w:val="22"/>
        </w:rPr>
        <w:t>3.</w:t>
      </w:r>
      <w:r w:rsidRPr="004D3471">
        <w:rPr>
          <w:rFonts w:ascii="Arial" w:hAnsi="Arial" w:cs="Arial"/>
          <w:sz w:val="22"/>
          <w:szCs w:val="22"/>
        </w:rPr>
        <w:tab/>
        <w:t xml:space="preserve">Are there any known contractual obligations to provide </w:t>
      </w:r>
      <w:r w:rsidR="005A7862" w:rsidRPr="004D3471">
        <w:rPr>
          <w:rFonts w:ascii="Arial" w:hAnsi="Arial" w:cs="Arial"/>
          <w:sz w:val="22"/>
          <w:szCs w:val="22"/>
        </w:rPr>
        <w:t>credit monitoring/identity theft protection</w:t>
      </w:r>
      <w:r w:rsidRPr="004D3471">
        <w:rPr>
          <w:rFonts w:ascii="Arial" w:hAnsi="Arial" w:cs="Arial"/>
          <w:sz w:val="22"/>
          <w:szCs w:val="22"/>
        </w:rPr>
        <w:t xml:space="preserve"> in this case?</w:t>
      </w:r>
      <w:r w:rsidR="005D1C6F">
        <w:rPr>
          <w:rFonts w:ascii="Arial" w:hAnsi="Arial" w:cs="Arial"/>
          <w:sz w:val="22"/>
          <w:szCs w:val="22"/>
        </w:rPr>
        <w:t xml:space="preserve"> (Although</w:t>
      </w:r>
      <w:r w:rsidR="004921B4">
        <w:rPr>
          <w:rFonts w:ascii="Arial" w:hAnsi="Arial" w:cs="Arial"/>
          <w:sz w:val="22"/>
          <w:szCs w:val="22"/>
        </w:rPr>
        <w:t xml:space="preserve"> not legally required, it may still be provided.)</w:t>
      </w:r>
    </w:p>
    <w:p w14:paraId="13D2A184" w14:textId="77777777" w:rsidR="00615787" w:rsidRPr="004D3471" w:rsidRDefault="00615787" w:rsidP="00615787">
      <w:pPr>
        <w:ind w:left="720" w:firstLine="720"/>
        <w:jc w:val="both"/>
        <w:rPr>
          <w:rFonts w:ascii="Arial" w:hAnsi="Arial" w:cs="Arial"/>
          <w:sz w:val="22"/>
          <w:szCs w:val="22"/>
        </w:rPr>
      </w:pPr>
    </w:p>
    <w:p w14:paraId="13D2A185" w14:textId="77777777" w:rsidR="00063970" w:rsidRDefault="00615787">
      <w:pPr>
        <w:ind w:left="720" w:firstLine="720"/>
        <w:jc w:val="both"/>
        <w:rPr>
          <w:rFonts w:ascii="Arial" w:hAnsi="Arial" w:cs="Arial"/>
          <w:sz w:val="22"/>
          <w:szCs w:val="22"/>
        </w:rPr>
      </w:pPr>
      <w:r w:rsidRPr="004D3471">
        <w:rPr>
          <w:rFonts w:ascii="Arial" w:hAnsi="Arial" w:cs="Arial"/>
          <w:sz w:val="22"/>
          <w:szCs w:val="22"/>
        </w:rPr>
        <w:t>4.</w:t>
      </w:r>
      <w:r w:rsidRPr="004D3471">
        <w:rPr>
          <w:rFonts w:ascii="Arial" w:hAnsi="Arial" w:cs="Arial"/>
          <w:sz w:val="22"/>
          <w:szCs w:val="22"/>
        </w:rPr>
        <w:tab/>
        <w:t>Are there other actions required by existing contractual obligations?</w:t>
      </w:r>
    </w:p>
    <w:p w14:paraId="13D2A186" w14:textId="77777777" w:rsidR="00063970" w:rsidRDefault="00063970" w:rsidP="00AD2403">
      <w:pPr>
        <w:jc w:val="both"/>
        <w:rPr>
          <w:rFonts w:ascii="Arial" w:hAnsi="Arial" w:cs="Arial"/>
          <w:sz w:val="22"/>
          <w:szCs w:val="22"/>
        </w:rPr>
      </w:pPr>
    </w:p>
    <w:p w14:paraId="13D2A187" w14:textId="77777777" w:rsidR="00063970" w:rsidRPr="00AD2403" w:rsidRDefault="00063970" w:rsidP="00063970">
      <w:pPr>
        <w:jc w:val="both"/>
        <w:rPr>
          <w:rFonts w:ascii="Arial" w:hAnsi="Arial" w:cs="Arial"/>
          <w:sz w:val="22"/>
          <w:szCs w:val="22"/>
        </w:rPr>
      </w:pPr>
      <w:r w:rsidRPr="00AD2403">
        <w:rPr>
          <w:rFonts w:ascii="Arial" w:hAnsi="Arial" w:cs="Arial"/>
          <w:sz w:val="22"/>
          <w:szCs w:val="22"/>
        </w:rPr>
        <w:tab/>
        <w:t>D.</w:t>
      </w:r>
      <w:r w:rsidRPr="00AD2403">
        <w:rPr>
          <w:rFonts w:ascii="Arial" w:hAnsi="Arial" w:cs="Arial"/>
          <w:sz w:val="22"/>
          <w:szCs w:val="22"/>
        </w:rPr>
        <w:tab/>
      </w:r>
      <w:r w:rsidRPr="00AD2403">
        <w:rPr>
          <w:rFonts w:ascii="Arial" w:hAnsi="Arial" w:cs="Arial"/>
          <w:sz w:val="22"/>
          <w:szCs w:val="22"/>
          <w:u w:val="single"/>
        </w:rPr>
        <w:t>LAW ENFORCEMENT</w:t>
      </w:r>
      <w:r w:rsidRPr="00AD2403">
        <w:rPr>
          <w:rFonts w:ascii="Arial" w:hAnsi="Arial" w:cs="Arial"/>
          <w:sz w:val="22"/>
          <w:szCs w:val="22"/>
        </w:rPr>
        <w:t>.  With assistance from outside legal counsel and the internal legal department, IRT must determine whether law enforcement should be involved in the incident investigation and document as appropriate.</w:t>
      </w:r>
    </w:p>
    <w:p w14:paraId="13D2A188" w14:textId="77777777" w:rsidR="00063970" w:rsidRPr="00AD2403" w:rsidRDefault="00063970" w:rsidP="00063970">
      <w:pPr>
        <w:jc w:val="both"/>
        <w:rPr>
          <w:rFonts w:ascii="Arial" w:hAnsi="Arial" w:cs="Arial"/>
          <w:sz w:val="22"/>
          <w:szCs w:val="22"/>
        </w:rPr>
      </w:pPr>
      <w:r w:rsidRPr="00AD2403">
        <w:rPr>
          <w:rFonts w:ascii="Arial" w:hAnsi="Arial" w:cs="Arial"/>
          <w:sz w:val="22"/>
          <w:szCs w:val="22"/>
        </w:rPr>
        <w:tab/>
      </w:r>
    </w:p>
    <w:p w14:paraId="13D2A189" w14:textId="77777777" w:rsidR="00063970" w:rsidRPr="00AD2403" w:rsidRDefault="00063970" w:rsidP="00063970">
      <w:pPr>
        <w:ind w:left="720" w:firstLine="720"/>
        <w:jc w:val="both"/>
        <w:rPr>
          <w:rFonts w:ascii="Arial" w:hAnsi="Arial" w:cs="Arial"/>
          <w:sz w:val="22"/>
          <w:szCs w:val="22"/>
        </w:rPr>
      </w:pPr>
      <w:r w:rsidRPr="00AD2403">
        <w:rPr>
          <w:rFonts w:ascii="Arial" w:hAnsi="Arial" w:cs="Arial"/>
          <w:sz w:val="22"/>
          <w:szCs w:val="22"/>
        </w:rPr>
        <w:t>1.</w:t>
      </w:r>
      <w:r w:rsidRPr="00AD2403">
        <w:rPr>
          <w:rFonts w:ascii="Arial" w:hAnsi="Arial" w:cs="Arial"/>
          <w:sz w:val="22"/>
          <w:szCs w:val="22"/>
        </w:rPr>
        <w:tab/>
        <w:t xml:space="preserve">Should a </w:t>
      </w:r>
      <w:r w:rsidR="0004720F">
        <w:rPr>
          <w:rFonts w:ascii="Arial" w:hAnsi="Arial" w:cs="Arial"/>
          <w:sz w:val="22"/>
          <w:szCs w:val="22"/>
        </w:rPr>
        <w:t>written stay of notice</w:t>
      </w:r>
      <w:r w:rsidRPr="00AD2403">
        <w:rPr>
          <w:rFonts w:ascii="Arial" w:hAnsi="Arial" w:cs="Arial"/>
          <w:sz w:val="22"/>
          <w:szCs w:val="22"/>
        </w:rPr>
        <w:t xml:space="preserve"> be obtained pending law enforcement investigation of the incident?</w:t>
      </w:r>
    </w:p>
    <w:p w14:paraId="13D2A18A" w14:textId="77777777" w:rsidR="00063970" w:rsidRPr="00B3524D" w:rsidRDefault="00063970" w:rsidP="00AD2403">
      <w:pPr>
        <w:jc w:val="both"/>
        <w:rPr>
          <w:rFonts w:ascii="Arial" w:hAnsi="Arial" w:cs="Arial"/>
          <w:sz w:val="22"/>
          <w:szCs w:val="22"/>
        </w:rPr>
      </w:pPr>
    </w:p>
    <w:p w14:paraId="13D2A18B" w14:textId="77777777" w:rsidR="004E500E" w:rsidRPr="00C74063" w:rsidRDefault="004E500E" w:rsidP="002110E7">
      <w:pPr>
        <w:ind w:firstLine="720"/>
        <w:jc w:val="both"/>
        <w:rPr>
          <w:rFonts w:ascii="Arial" w:hAnsi="Arial" w:cs="Arial"/>
          <w:sz w:val="22"/>
          <w:szCs w:val="22"/>
        </w:rPr>
      </w:pPr>
      <w:r w:rsidRPr="00C74063">
        <w:rPr>
          <w:rFonts w:ascii="Arial" w:hAnsi="Arial" w:cs="Arial"/>
          <w:sz w:val="22"/>
          <w:szCs w:val="22"/>
        </w:rPr>
        <w:t>E.</w:t>
      </w:r>
      <w:r w:rsidRPr="00C74063">
        <w:rPr>
          <w:rFonts w:ascii="Arial" w:hAnsi="Arial" w:cs="Arial"/>
          <w:sz w:val="22"/>
          <w:szCs w:val="22"/>
        </w:rPr>
        <w:tab/>
      </w:r>
      <w:r w:rsidRPr="00C74063">
        <w:rPr>
          <w:rFonts w:ascii="Arial" w:hAnsi="Arial" w:cs="Arial"/>
          <w:sz w:val="22"/>
          <w:szCs w:val="22"/>
          <w:u w:val="single"/>
        </w:rPr>
        <w:t>CONCLUSIONS FOR PHASE</w:t>
      </w:r>
      <w:r w:rsidR="00B3524D">
        <w:rPr>
          <w:rFonts w:ascii="Arial" w:hAnsi="Arial" w:cs="Arial"/>
          <w:sz w:val="22"/>
          <w:szCs w:val="22"/>
          <w:u w:val="single"/>
        </w:rPr>
        <w:t xml:space="preserve"> </w:t>
      </w:r>
      <w:r w:rsidR="00BD666D">
        <w:rPr>
          <w:rFonts w:ascii="Arial" w:hAnsi="Arial" w:cs="Arial"/>
          <w:sz w:val="22"/>
          <w:szCs w:val="22"/>
          <w:u w:val="single"/>
        </w:rPr>
        <w:t>2</w:t>
      </w:r>
      <w:r w:rsidRPr="00C74063">
        <w:rPr>
          <w:rFonts w:ascii="Arial" w:hAnsi="Arial" w:cs="Arial"/>
          <w:sz w:val="22"/>
          <w:szCs w:val="22"/>
        </w:rPr>
        <w:t>.  At the end of the Investigation phase, the IRT should prepare a report with its findings and recommendations. The IRT can then decide what responses the organization will implement in Phase 3.</w:t>
      </w:r>
      <w:r w:rsidR="006B317F">
        <w:rPr>
          <w:rFonts w:ascii="Arial" w:hAnsi="Arial" w:cs="Arial"/>
          <w:sz w:val="22"/>
          <w:szCs w:val="22"/>
        </w:rPr>
        <w:t xml:space="preserve">  Reminder: All incident reports and correspondence should be made to counsel’s attention and indicated directly on the reporting documents themselves (to preserve attorney-client privilege).</w:t>
      </w:r>
    </w:p>
    <w:p w14:paraId="13D2A18C" w14:textId="77777777" w:rsidR="004E500E" w:rsidRDefault="004E500E" w:rsidP="002110E7">
      <w:pPr>
        <w:jc w:val="both"/>
        <w:rPr>
          <w:rFonts w:ascii="TKTypeRegular" w:hAnsi="TKTypeRegular"/>
        </w:rPr>
      </w:pPr>
    </w:p>
    <w:p w14:paraId="13D2A18D" w14:textId="77777777" w:rsidR="004918DD" w:rsidRDefault="004918DD" w:rsidP="002110E7">
      <w:pPr>
        <w:jc w:val="both"/>
        <w:rPr>
          <w:rFonts w:ascii="TKTypeRegular" w:hAnsi="TKTypeRegular"/>
          <w:sz w:val="22"/>
          <w:szCs w:val="22"/>
        </w:rPr>
      </w:pPr>
    </w:p>
    <w:p w14:paraId="13D2A18E" w14:textId="77777777" w:rsidR="004918DD" w:rsidRDefault="004918DD" w:rsidP="002110E7">
      <w:pPr>
        <w:jc w:val="both"/>
        <w:rPr>
          <w:rFonts w:ascii="TKTypeRegular" w:hAnsi="TKTypeRegular"/>
          <w:sz w:val="22"/>
          <w:szCs w:val="22"/>
        </w:rPr>
      </w:pPr>
    </w:p>
    <w:p w14:paraId="13D2A18F" w14:textId="77777777" w:rsidR="009751DD" w:rsidRDefault="009751DD" w:rsidP="002110E7">
      <w:pPr>
        <w:jc w:val="both"/>
        <w:rPr>
          <w:rFonts w:ascii="TKTypeRegular" w:hAnsi="TKTypeRegular"/>
          <w:sz w:val="22"/>
          <w:szCs w:val="22"/>
        </w:rPr>
      </w:pPr>
    </w:p>
    <w:p w14:paraId="13D2A190" w14:textId="77777777" w:rsidR="009751DD" w:rsidRDefault="009751DD" w:rsidP="002110E7">
      <w:pPr>
        <w:jc w:val="both"/>
        <w:rPr>
          <w:rFonts w:ascii="TKTypeRegular" w:hAnsi="TKTypeRegular"/>
          <w:sz w:val="22"/>
          <w:szCs w:val="22"/>
        </w:rPr>
      </w:pPr>
    </w:p>
    <w:p w14:paraId="13D2A191" w14:textId="77777777" w:rsidR="004E500E" w:rsidRPr="00C74063" w:rsidRDefault="0096161C" w:rsidP="002110E7">
      <w:pPr>
        <w:jc w:val="both"/>
        <w:rPr>
          <w:rFonts w:ascii="Arial" w:hAnsi="Arial" w:cs="Arial"/>
          <w:b/>
          <w:sz w:val="22"/>
          <w:szCs w:val="22"/>
        </w:rPr>
      </w:pPr>
      <w:r w:rsidRPr="00C74063">
        <w:rPr>
          <w:rFonts w:ascii="Arial" w:hAnsi="Arial" w:cs="Arial"/>
          <w:b/>
          <w:sz w:val="22"/>
          <w:szCs w:val="22"/>
        </w:rPr>
        <w:t>VI</w:t>
      </w:r>
      <w:r w:rsidR="004E500E" w:rsidRPr="00C74063">
        <w:rPr>
          <w:rFonts w:ascii="Arial" w:hAnsi="Arial" w:cs="Arial"/>
          <w:b/>
          <w:sz w:val="22"/>
          <w:szCs w:val="22"/>
        </w:rPr>
        <w:t xml:space="preserve">. </w:t>
      </w:r>
      <w:r w:rsidR="004E500E" w:rsidRPr="00C74063">
        <w:rPr>
          <w:rFonts w:ascii="Arial" w:hAnsi="Arial" w:cs="Arial"/>
          <w:b/>
          <w:sz w:val="22"/>
          <w:szCs w:val="22"/>
        </w:rPr>
        <w:tab/>
        <w:t xml:space="preserve">PHASE 3: </w:t>
      </w:r>
      <w:r w:rsidR="00ED4FF1" w:rsidRPr="00C74063">
        <w:rPr>
          <w:rFonts w:ascii="Arial" w:hAnsi="Arial" w:cs="Arial"/>
          <w:b/>
          <w:sz w:val="22"/>
          <w:szCs w:val="22"/>
        </w:rPr>
        <w:t>RESPONSE</w:t>
      </w:r>
    </w:p>
    <w:p w14:paraId="13D2A192" w14:textId="77777777" w:rsidR="004E500E" w:rsidRPr="00C74063" w:rsidRDefault="004E500E" w:rsidP="002110E7">
      <w:pPr>
        <w:jc w:val="both"/>
        <w:rPr>
          <w:rFonts w:ascii="Arial" w:hAnsi="Arial" w:cs="Arial"/>
          <w:b/>
          <w:sz w:val="22"/>
          <w:szCs w:val="22"/>
        </w:rPr>
      </w:pPr>
    </w:p>
    <w:p w14:paraId="13D2A193" w14:textId="77777777" w:rsidR="00B06907" w:rsidRPr="00B3524D" w:rsidRDefault="004E500E" w:rsidP="002110E7">
      <w:pPr>
        <w:ind w:firstLine="720"/>
        <w:jc w:val="both"/>
        <w:rPr>
          <w:rFonts w:ascii="Arial" w:hAnsi="Arial" w:cs="Arial"/>
          <w:caps/>
          <w:sz w:val="22"/>
          <w:szCs w:val="22"/>
        </w:rPr>
      </w:pPr>
      <w:r w:rsidRPr="00B3524D">
        <w:rPr>
          <w:rFonts w:ascii="Arial" w:hAnsi="Arial" w:cs="Arial"/>
          <w:sz w:val="22"/>
          <w:szCs w:val="22"/>
        </w:rPr>
        <w:t>A.</w:t>
      </w:r>
      <w:r w:rsidRPr="00B3524D">
        <w:rPr>
          <w:rFonts w:ascii="Arial" w:hAnsi="Arial" w:cs="Arial"/>
          <w:b/>
          <w:sz w:val="22"/>
          <w:szCs w:val="22"/>
        </w:rPr>
        <w:tab/>
      </w:r>
      <w:r w:rsidRPr="00B3524D">
        <w:rPr>
          <w:rFonts w:ascii="Arial" w:hAnsi="Arial" w:cs="Arial"/>
          <w:caps/>
          <w:sz w:val="22"/>
          <w:szCs w:val="22"/>
          <w:u w:val="single"/>
        </w:rPr>
        <w:t>OBJECTIVE</w:t>
      </w:r>
      <w:r w:rsidR="0008543F" w:rsidRPr="00B3524D">
        <w:rPr>
          <w:rFonts w:ascii="Arial" w:hAnsi="Arial" w:cs="Arial"/>
          <w:caps/>
          <w:sz w:val="22"/>
          <w:szCs w:val="22"/>
          <w:u w:val="single"/>
        </w:rPr>
        <w:t>S</w:t>
      </w:r>
      <w:r w:rsidRPr="00B3524D">
        <w:rPr>
          <w:rFonts w:ascii="Arial" w:hAnsi="Arial" w:cs="Arial"/>
          <w:caps/>
          <w:sz w:val="22"/>
          <w:szCs w:val="22"/>
        </w:rPr>
        <w:t>.</w:t>
      </w:r>
      <w:r w:rsidR="0008543F" w:rsidRPr="00B3524D">
        <w:rPr>
          <w:rFonts w:ascii="Arial" w:hAnsi="Arial" w:cs="Arial"/>
          <w:caps/>
          <w:sz w:val="22"/>
          <w:szCs w:val="22"/>
        </w:rPr>
        <w:t xml:space="preserve">  </w:t>
      </w:r>
      <w:r w:rsidR="00B3524D" w:rsidRPr="00AD2403">
        <w:rPr>
          <w:rFonts w:ascii="Arial" w:hAnsi="Arial" w:cs="Arial"/>
          <w:sz w:val="22"/>
          <w:szCs w:val="22"/>
        </w:rPr>
        <w:t>During this Response Phase, the IRT will execute those recommendations set forth in the Investigation Report</w:t>
      </w:r>
      <w:r w:rsidR="00B3524D" w:rsidRPr="00B3524D">
        <w:rPr>
          <w:rFonts w:ascii="Arial" w:hAnsi="Arial" w:cs="Arial"/>
          <w:sz w:val="22"/>
          <w:szCs w:val="22"/>
        </w:rPr>
        <w:t xml:space="preserve"> and complete the following:</w:t>
      </w:r>
    </w:p>
    <w:p w14:paraId="13D2A194" w14:textId="77777777" w:rsidR="00B06907" w:rsidRPr="00B3524D" w:rsidRDefault="00B06907" w:rsidP="00B06907">
      <w:pPr>
        <w:ind w:firstLine="720"/>
        <w:jc w:val="both"/>
        <w:rPr>
          <w:rFonts w:ascii="Arial" w:hAnsi="Arial" w:cs="Arial"/>
          <w:caps/>
          <w:sz w:val="22"/>
          <w:szCs w:val="22"/>
        </w:rPr>
      </w:pPr>
    </w:p>
    <w:p w14:paraId="13D2A195" w14:textId="77777777" w:rsidR="00B06907" w:rsidRPr="00C74063" w:rsidRDefault="0096161C" w:rsidP="002110E7">
      <w:pPr>
        <w:ind w:left="720" w:firstLine="720"/>
        <w:jc w:val="both"/>
        <w:rPr>
          <w:rFonts w:ascii="Arial" w:hAnsi="Arial" w:cs="Arial"/>
          <w:sz w:val="22"/>
          <w:szCs w:val="22"/>
        </w:rPr>
      </w:pPr>
      <w:r w:rsidRPr="00B3524D">
        <w:rPr>
          <w:rFonts w:ascii="Arial" w:hAnsi="Arial" w:cs="Arial"/>
          <w:sz w:val="22"/>
          <w:szCs w:val="22"/>
        </w:rPr>
        <w:t>1.</w:t>
      </w:r>
      <w:r w:rsidRPr="00B3524D">
        <w:rPr>
          <w:rFonts w:ascii="Arial" w:hAnsi="Arial" w:cs="Arial"/>
          <w:sz w:val="22"/>
          <w:szCs w:val="22"/>
        </w:rPr>
        <w:tab/>
      </w:r>
      <w:r w:rsidR="00B06907" w:rsidRPr="00B3524D">
        <w:rPr>
          <w:rFonts w:ascii="Arial" w:hAnsi="Arial" w:cs="Arial"/>
          <w:sz w:val="22"/>
          <w:szCs w:val="22"/>
        </w:rPr>
        <w:t>Execute approved recommendations from the investigation report,</w:t>
      </w:r>
      <w:r w:rsidR="00B06907" w:rsidRPr="00C74063">
        <w:rPr>
          <w:rFonts w:ascii="Arial" w:hAnsi="Arial" w:cs="Arial"/>
          <w:sz w:val="22"/>
          <w:szCs w:val="22"/>
        </w:rPr>
        <w:t xml:space="preserve"> including notification and </w:t>
      </w:r>
      <w:r w:rsidR="005A7862" w:rsidRPr="00C74063">
        <w:rPr>
          <w:rFonts w:ascii="Arial" w:hAnsi="Arial" w:cs="Arial"/>
          <w:sz w:val="22"/>
          <w:szCs w:val="22"/>
        </w:rPr>
        <w:t>credit monitoring</w:t>
      </w:r>
      <w:r w:rsidR="00B06907" w:rsidRPr="00C74063">
        <w:rPr>
          <w:rFonts w:ascii="Arial" w:hAnsi="Arial" w:cs="Arial"/>
          <w:sz w:val="22"/>
          <w:szCs w:val="22"/>
        </w:rPr>
        <w:t>, public relations efforts, legal and law enforcement efforts, personnel actions, and system and process changes to help prevent similar incidents in future.</w:t>
      </w:r>
    </w:p>
    <w:p w14:paraId="13D2A196" w14:textId="77777777" w:rsidR="0008543F" w:rsidRPr="00C74063" w:rsidRDefault="0008543F" w:rsidP="002110E7">
      <w:pPr>
        <w:ind w:left="720" w:firstLine="720"/>
        <w:jc w:val="both"/>
        <w:rPr>
          <w:rFonts w:ascii="Arial" w:hAnsi="Arial" w:cs="Arial"/>
          <w:caps/>
          <w:sz w:val="22"/>
          <w:szCs w:val="22"/>
        </w:rPr>
      </w:pPr>
    </w:p>
    <w:p w14:paraId="13D2A197" w14:textId="77777777" w:rsidR="00B06907" w:rsidRPr="00C74063" w:rsidRDefault="00B06907" w:rsidP="002110E7">
      <w:pPr>
        <w:keepNext/>
        <w:keepLines/>
        <w:ind w:left="720" w:firstLine="720"/>
        <w:jc w:val="both"/>
        <w:rPr>
          <w:rFonts w:ascii="Arial" w:hAnsi="Arial" w:cs="Arial"/>
          <w:sz w:val="22"/>
          <w:szCs w:val="22"/>
        </w:rPr>
      </w:pPr>
      <w:r w:rsidRPr="00C74063">
        <w:rPr>
          <w:rFonts w:ascii="Arial" w:hAnsi="Arial" w:cs="Arial"/>
          <w:sz w:val="22"/>
          <w:szCs w:val="22"/>
        </w:rPr>
        <w:lastRenderedPageBreak/>
        <w:t>2.</w:t>
      </w:r>
      <w:r w:rsidRPr="00C74063">
        <w:rPr>
          <w:rFonts w:ascii="Arial" w:hAnsi="Arial" w:cs="Arial"/>
          <w:sz w:val="22"/>
          <w:szCs w:val="22"/>
        </w:rPr>
        <w:tab/>
        <w:t>Resolve any issues that arise during implementation</w:t>
      </w:r>
      <w:r w:rsidR="004F414A">
        <w:rPr>
          <w:rFonts w:ascii="Arial" w:hAnsi="Arial" w:cs="Arial"/>
          <w:sz w:val="22"/>
          <w:szCs w:val="22"/>
        </w:rPr>
        <w:t>.</w:t>
      </w:r>
    </w:p>
    <w:p w14:paraId="13D2A198" w14:textId="77777777" w:rsidR="00B06907" w:rsidRPr="00C74063" w:rsidRDefault="00B06907" w:rsidP="002110E7">
      <w:pPr>
        <w:keepNext/>
        <w:keepLines/>
        <w:ind w:left="720" w:firstLine="720"/>
        <w:jc w:val="both"/>
        <w:rPr>
          <w:rFonts w:ascii="Arial" w:hAnsi="Arial" w:cs="Arial"/>
          <w:sz w:val="22"/>
          <w:szCs w:val="22"/>
        </w:rPr>
      </w:pPr>
    </w:p>
    <w:p w14:paraId="13D2A199" w14:textId="77777777" w:rsidR="00B06907" w:rsidRPr="00C74063" w:rsidRDefault="00B06907" w:rsidP="002110E7">
      <w:pPr>
        <w:keepNext/>
        <w:keepLines/>
        <w:ind w:left="720" w:firstLine="720"/>
        <w:jc w:val="both"/>
        <w:rPr>
          <w:rFonts w:ascii="Arial" w:hAnsi="Arial" w:cs="Arial"/>
          <w:sz w:val="22"/>
          <w:szCs w:val="22"/>
        </w:rPr>
      </w:pPr>
      <w:r w:rsidRPr="00C74063">
        <w:rPr>
          <w:rFonts w:ascii="Arial" w:hAnsi="Arial" w:cs="Arial"/>
          <w:sz w:val="22"/>
          <w:szCs w:val="22"/>
        </w:rPr>
        <w:t>3.</w:t>
      </w:r>
      <w:r w:rsidRPr="00C74063">
        <w:rPr>
          <w:rFonts w:ascii="Arial" w:hAnsi="Arial" w:cs="Arial"/>
          <w:sz w:val="22"/>
          <w:szCs w:val="22"/>
        </w:rPr>
        <w:tab/>
        <w:t xml:space="preserve">Track implementation and report status to the </w:t>
      </w:r>
      <w:r w:rsidR="002F5E01">
        <w:rPr>
          <w:rFonts w:ascii="Arial" w:hAnsi="Arial" w:cs="Arial"/>
          <w:sz w:val="22"/>
          <w:szCs w:val="22"/>
        </w:rPr>
        <w:t>Board of Trustees</w:t>
      </w:r>
      <w:r w:rsidR="004F414A">
        <w:rPr>
          <w:rFonts w:ascii="Arial" w:hAnsi="Arial" w:cs="Arial"/>
          <w:sz w:val="22"/>
          <w:szCs w:val="22"/>
        </w:rPr>
        <w:t>.</w:t>
      </w:r>
    </w:p>
    <w:p w14:paraId="13D2A19A" w14:textId="77777777" w:rsidR="00B06907" w:rsidRPr="00C74063" w:rsidRDefault="00B06907" w:rsidP="002110E7">
      <w:pPr>
        <w:keepNext/>
        <w:keepLines/>
        <w:ind w:left="720" w:firstLine="720"/>
        <w:jc w:val="both"/>
        <w:rPr>
          <w:rFonts w:ascii="Arial" w:hAnsi="Arial" w:cs="Arial"/>
          <w:sz w:val="22"/>
          <w:szCs w:val="22"/>
        </w:rPr>
      </w:pPr>
    </w:p>
    <w:p w14:paraId="13D2A19B" w14:textId="77777777" w:rsidR="00B06907" w:rsidRPr="00C74063" w:rsidRDefault="00B06907" w:rsidP="002110E7">
      <w:pPr>
        <w:keepNext/>
        <w:keepLines/>
        <w:ind w:left="720" w:firstLine="720"/>
        <w:jc w:val="both"/>
        <w:rPr>
          <w:rFonts w:ascii="Arial" w:hAnsi="Arial" w:cs="Arial"/>
          <w:sz w:val="22"/>
          <w:szCs w:val="22"/>
        </w:rPr>
      </w:pPr>
      <w:r w:rsidRPr="00C74063">
        <w:rPr>
          <w:rFonts w:ascii="Arial" w:hAnsi="Arial" w:cs="Arial"/>
          <w:sz w:val="22"/>
          <w:szCs w:val="22"/>
        </w:rPr>
        <w:t>4.</w:t>
      </w:r>
      <w:r w:rsidRPr="00C74063">
        <w:rPr>
          <w:rFonts w:ascii="Arial" w:hAnsi="Arial" w:cs="Arial"/>
          <w:sz w:val="22"/>
          <w:szCs w:val="22"/>
        </w:rPr>
        <w:tab/>
        <w:t>Document responses and securely archive documentation</w:t>
      </w:r>
      <w:r w:rsidR="004F414A">
        <w:rPr>
          <w:rFonts w:ascii="Arial" w:hAnsi="Arial" w:cs="Arial"/>
          <w:sz w:val="22"/>
          <w:szCs w:val="22"/>
        </w:rPr>
        <w:t>.</w:t>
      </w:r>
    </w:p>
    <w:p w14:paraId="13D2A19C" w14:textId="77777777" w:rsidR="00B06907" w:rsidRPr="00C74063" w:rsidRDefault="00B06907" w:rsidP="002110E7">
      <w:pPr>
        <w:keepNext/>
        <w:keepLines/>
        <w:ind w:left="720" w:firstLine="720"/>
        <w:jc w:val="both"/>
        <w:rPr>
          <w:rFonts w:ascii="Arial" w:hAnsi="Arial" w:cs="Arial"/>
          <w:sz w:val="22"/>
          <w:szCs w:val="22"/>
        </w:rPr>
      </w:pPr>
    </w:p>
    <w:p w14:paraId="13D2A19D" w14:textId="77777777" w:rsidR="00B06907" w:rsidRPr="00C74063" w:rsidRDefault="00B06907" w:rsidP="002110E7">
      <w:pPr>
        <w:keepNext/>
        <w:keepLines/>
        <w:ind w:left="720" w:firstLine="720"/>
        <w:jc w:val="both"/>
        <w:rPr>
          <w:rFonts w:ascii="Arial" w:hAnsi="Arial" w:cs="Arial"/>
          <w:sz w:val="22"/>
          <w:szCs w:val="22"/>
        </w:rPr>
      </w:pPr>
      <w:r w:rsidRPr="00C74063">
        <w:rPr>
          <w:rFonts w:ascii="Arial" w:hAnsi="Arial" w:cs="Arial"/>
          <w:sz w:val="22"/>
          <w:szCs w:val="22"/>
        </w:rPr>
        <w:t>5.</w:t>
      </w:r>
      <w:r w:rsidRPr="00C74063">
        <w:rPr>
          <w:rFonts w:ascii="Arial" w:hAnsi="Arial" w:cs="Arial"/>
          <w:sz w:val="22"/>
          <w:szCs w:val="22"/>
        </w:rPr>
        <w:tab/>
        <w:t>Upon completion, report to the designated privacy/security officer and executive team and request approval to close the incident.</w:t>
      </w:r>
    </w:p>
    <w:p w14:paraId="13D2A19E" w14:textId="77777777" w:rsidR="009751DD" w:rsidRDefault="009751DD" w:rsidP="002110E7">
      <w:pPr>
        <w:ind w:firstLine="720"/>
        <w:jc w:val="both"/>
        <w:rPr>
          <w:rFonts w:ascii="Arial" w:hAnsi="Arial" w:cs="Arial"/>
          <w:sz w:val="22"/>
          <w:szCs w:val="22"/>
        </w:rPr>
      </w:pPr>
    </w:p>
    <w:p w14:paraId="13D2A19F" w14:textId="77777777" w:rsidR="005B6438" w:rsidRPr="00C74063" w:rsidRDefault="001B7205" w:rsidP="002110E7">
      <w:pPr>
        <w:ind w:firstLine="720"/>
        <w:jc w:val="both"/>
        <w:rPr>
          <w:rFonts w:ascii="Arial" w:hAnsi="Arial" w:cs="Arial"/>
          <w:caps/>
          <w:sz w:val="22"/>
          <w:szCs w:val="22"/>
        </w:rPr>
      </w:pPr>
      <w:r w:rsidRPr="00C74063">
        <w:rPr>
          <w:rFonts w:ascii="Arial" w:hAnsi="Arial" w:cs="Arial"/>
          <w:sz w:val="22"/>
          <w:szCs w:val="22"/>
        </w:rPr>
        <w:t>B</w:t>
      </w:r>
      <w:r w:rsidR="00EA3851" w:rsidRPr="00C74063">
        <w:rPr>
          <w:rFonts w:ascii="Arial" w:hAnsi="Arial" w:cs="Arial"/>
          <w:sz w:val="22"/>
          <w:szCs w:val="22"/>
        </w:rPr>
        <w:t>.</w:t>
      </w:r>
      <w:r w:rsidRPr="00C74063">
        <w:rPr>
          <w:rFonts w:ascii="Arial" w:hAnsi="Arial" w:cs="Arial"/>
          <w:b/>
          <w:sz w:val="22"/>
          <w:szCs w:val="22"/>
        </w:rPr>
        <w:tab/>
      </w:r>
      <w:r w:rsidR="005B6438" w:rsidRPr="00C74063">
        <w:rPr>
          <w:rFonts w:ascii="Arial" w:hAnsi="Arial" w:cs="Arial"/>
          <w:caps/>
          <w:sz w:val="22"/>
          <w:szCs w:val="22"/>
          <w:u w:val="single"/>
        </w:rPr>
        <w:t>NOTIFICATION.</w:t>
      </w:r>
      <w:r w:rsidR="005B6438" w:rsidRPr="00C74063">
        <w:rPr>
          <w:rFonts w:ascii="Arial" w:hAnsi="Arial" w:cs="Arial"/>
          <w:caps/>
          <w:sz w:val="22"/>
          <w:szCs w:val="22"/>
        </w:rPr>
        <w:t xml:space="preserve">  </w:t>
      </w:r>
    </w:p>
    <w:p w14:paraId="13D2A1A0" w14:textId="77777777" w:rsidR="005B6438" w:rsidRPr="00C74063" w:rsidRDefault="005B6438" w:rsidP="002110E7">
      <w:pPr>
        <w:ind w:firstLine="720"/>
        <w:jc w:val="both"/>
        <w:rPr>
          <w:rFonts w:ascii="Arial" w:hAnsi="Arial" w:cs="Arial"/>
          <w:caps/>
          <w:sz w:val="22"/>
          <w:szCs w:val="22"/>
        </w:rPr>
      </w:pPr>
    </w:p>
    <w:p w14:paraId="13D2A1A1" w14:textId="77777777" w:rsidR="005B6438" w:rsidRPr="00C74063" w:rsidRDefault="005B6438" w:rsidP="002110E7">
      <w:pPr>
        <w:keepNext/>
        <w:keepLines/>
        <w:ind w:left="720" w:firstLine="720"/>
        <w:jc w:val="both"/>
        <w:rPr>
          <w:rFonts w:ascii="Arial" w:hAnsi="Arial" w:cs="Arial"/>
          <w:sz w:val="22"/>
          <w:szCs w:val="22"/>
        </w:rPr>
      </w:pPr>
      <w:r w:rsidRPr="00C74063">
        <w:rPr>
          <w:rFonts w:ascii="Arial" w:hAnsi="Arial" w:cs="Arial"/>
          <w:sz w:val="22"/>
          <w:szCs w:val="22"/>
        </w:rPr>
        <w:t>1.</w:t>
      </w:r>
      <w:r w:rsidRPr="00C74063">
        <w:rPr>
          <w:rFonts w:ascii="Arial" w:hAnsi="Arial" w:cs="Arial"/>
          <w:sz w:val="22"/>
          <w:szCs w:val="22"/>
        </w:rPr>
        <w:tab/>
        <w:t xml:space="preserve">Investigation and assessment of notification needs are the responsibility of a subset of the IRT.  This team will work in consultation with external legal counsel and </w:t>
      </w:r>
      <w:r w:rsidR="004F414A">
        <w:rPr>
          <w:rFonts w:ascii="Arial" w:hAnsi="Arial" w:cs="Arial"/>
          <w:sz w:val="22"/>
          <w:szCs w:val="22"/>
        </w:rPr>
        <w:t xml:space="preserve">the </w:t>
      </w:r>
      <w:r w:rsidRPr="00C74063">
        <w:rPr>
          <w:rFonts w:ascii="Arial" w:hAnsi="Arial" w:cs="Arial"/>
          <w:sz w:val="22"/>
          <w:szCs w:val="22"/>
        </w:rPr>
        <w:t xml:space="preserve">data breach notification </w:t>
      </w:r>
      <w:r w:rsidR="00296776" w:rsidRPr="00C74063">
        <w:rPr>
          <w:rFonts w:ascii="Arial" w:hAnsi="Arial" w:cs="Arial"/>
          <w:sz w:val="22"/>
          <w:szCs w:val="22"/>
        </w:rPr>
        <w:t>vendor</w:t>
      </w:r>
      <w:r w:rsidRPr="00C74063">
        <w:rPr>
          <w:rFonts w:ascii="Arial" w:hAnsi="Arial" w:cs="Arial"/>
          <w:sz w:val="22"/>
          <w:szCs w:val="22"/>
        </w:rPr>
        <w:t>, the public relations vendor and any regulatory agency contacts.</w:t>
      </w:r>
    </w:p>
    <w:p w14:paraId="13D2A1A2" w14:textId="77777777" w:rsidR="005B6438" w:rsidRPr="00C74063" w:rsidRDefault="005B6438" w:rsidP="002110E7">
      <w:pPr>
        <w:keepNext/>
        <w:keepLines/>
        <w:ind w:left="720" w:firstLine="720"/>
        <w:jc w:val="both"/>
        <w:rPr>
          <w:rFonts w:ascii="Arial" w:hAnsi="Arial" w:cs="Arial"/>
          <w:sz w:val="22"/>
          <w:szCs w:val="22"/>
        </w:rPr>
      </w:pPr>
    </w:p>
    <w:p w14:paraId="13D2A1A3" w14:textId="77777777" w:rsidR="005B6438" w:rsidRPr="00C74063" w:rsidRDefault="005B6438" w:rsidP="002110E7">
      <w:pPr>
        <w:keepNext/>
        <w:keepLines/>
        <w:ind w:left="720" w:firstLine="720"/>
        <w:jc w:val="both"/>
        <w:rPr>
          <w:rFonts w:ascii="Arial" w:hAnsi="Arial" w:cs="Arial"/>
          <w:sz w:val="22"/>
          <w:szCs w:val="22"/>
        </w:rPr>
      </w:pPr>
      <w:r w:rsidRPr="00C74063">
        <w:rPr>
          <w:rFonts w:ascii="Arial" w:hAnsi="Arial" w:cs="Arial"/>
          <w:sz w:val="22"/>
          <w:szCs w:val="22"/>
        </w:rPr>
        <w:t>2.</w:t>
      </w:r>
      <w:r w:rsidRPr="00C74063">
        <w:rPr>
          <w:rFonts w:ascii="Arial" w:hAnsi="Arial" w:cs="Arial"/>
          <w:sz w:val="22"/>
          <w:szCs w:val="22"/>
        </w:rPr>
        <w:tab/>
        <w:t>Notification may be required under contractual commitments, applicable laws or regulations, or to avoid harm to the organization and/or the individuals whose data was compromised. The notification assessment needs to fully investigate the extent and risks of the data loss to determine:</w:t>
      </w:r>
    </w:p>
    <w:p w14:paraId="13D2A1A4" w14:textId="77777777" w:rsidR="005B6438" w:rsidRPr="00C74063" w:rsidRDefault="005B6438" w:rsidP="002110E7">
      <w:pPr>
        <w:keepNext/>
        <w:keepLines/>
        <w:ind w:left="720" w:firstLine="720"/>
        <w:jc w:val="both"/>
        <w:rPr>
          <w:rFonts w:ascii="Arial" w:hAnsi="Arial" w:cs="Arial"/>
          <w:sz w:val="22"/>
          <w:szCs w:val="22"/>
        </w:rPr>
      </w:pPr>
    </w:p>
    <w:p w14:paraId="13D2A1A5" w14:textId="77777777" w:rsidR="005B6438" w:rsidRPr="00C74063" w:rsidRDefault="005B6438" w:rsidP="009751DD">
      <w:pPr>
        <w:pStyle w:val="BodyText"/>
        <w:spacing w:line="240" w:lineRule="auto"/>
        <w:ind w:left="2880" w:hanging="720"/>
        <w:jc w:val="both"/>
        <w:rPr>
          <w:rFonts w:ascii="Arial" w:hAnsi="Arial" w:cs="Arial"/>
          <w:sz w:val="22"/>
          <w:szCs w:val="22"/>
        </w:rPr>
      </w:pPr>
      <w:r w:rsidRPr="00C74063">
        <w:rPr>
          <w:rFonts w:ascii="Arial" w:hAnsi="Arial" w:cs="Arial"/>
          <w:sz w:val="22"/>
          <w:szCs w:val="22"/>
        </w:rPr>
        <w:t>a.</w:t>
      </w:r>
      <w:r w:rsidRPr="00C74063">
        <w:rPr>
          <w:rFonts w:ascii="Arial" w:hAnsi="Arial" w:cs="Arial"/>
          <w:sz w:val="22"/>
          <w:szCs w:val="22"/>
        </w:rPr>
        <w:tab/>
        <w:t>Is there potential risk to individuals affected by the breach that can be mitigated through notification?</w:t>
      </w:r>
    </w:p>
    <w:p w14:paraId="13D2A1A6" w14:textId="77777777" w:rsidR="005B6438" w:rsidRPr="00C74063" w:rsidRDefault="005B6438" w:rsidP="009751DD">
      <w:pPr>
        <w:pStyle w:val="BodyBullet1"/>
        <w:numPr>
          <w:ilvl w:val="0"/>
          <w:numId w:val="0"/>
        </w:numPr>
        <w:spacing w:line="240" w:lineRule="auto"/>
        <w:ind w:left="2880" w:hanging="720"/>
        <w:jc w:val="both"/>
        <w:rPr>
          <w:rFonts w:ascii="Arial" w:hAnsi="Arial" w:cs="Arial"/>
          <w:sz w:val="22"/>
          <w:szCs w:val="22"/>
        </w:rPr>
      </w:pPr>
      <w:r w:rsidRPr="00C74063">
        <w:rPr>
          <w:rFonts w:ascii="Arial" w:hAnsi="Arial" w:cs="Arial"/>
          <w:sz w:val="22"/>
          <w:szCs w:val="22"/>
        </w:rPr>
        <w:t>b.</w:t>
      </w:r>
      <w:r w:rsidRPr="00C74063">
        <w:rPr>
          <w:rFonts w:ascii="Arial" w:hAnsi="Arial" w:cs="Arial"/>
          <w:sz w:val="22"/>
          <w:szCs w:val="22"/>
        </w:rPr>
        <w:tab/>
        <w:t>Is there a possible regulatory requirement to notify the individuals whose data was lost or compromised?</w:t>
      </w:r>
    </w:p>
    <w:p w14:paraId="13D2A1A7" w14:textId="77777777" w:rsidR="005B6438" w:rsidRPr="00C74063" w:rsidRDefault="005B6438" w:rsidP="009751DD">
      <w:pPr>
        <w:pStyle w:val="BodyBullet1"/>
        <w:numPr>
          <w:ilvl w:val="0"/>
          <w:numId w:val="0"/>
        </w:numPr>
        <w:spacing w:line="240" w:lineRule="auto"/>
        <w:ind w:left="2880" w:hanging="720"/>
        <w:jc w:val="both"/>
        <w:rPr>
          <w:rFonts w:ascii="Arial" w:hAnsi="Arial" w:cs="Arial"/>
          <w:sz w:val="22"/>
          <w:szCs w:val="22"/>
        </w:rPr>
      </w:pPr>
      <w:r w:rsidRPr="00C74063">
        <w:rPr>
          <w:rFonts w:ascii="Arial" w:hAnsi="Arial" w:cs="Arial"/>
          <w:sz w:val="22"/>
          <w:szCs w:val="22"/>
        </w:rPr>
        <w:t>c.</w:t>
      </w:r>
      <w:r w:rsidRPr="00C74063">
        <w:rPr>
          <w:rFonts w:ascii="Arial" w:hAnsi="Arial" w:cs="Arial"/>
          <w:sz w:val="22"/>
          <w:szCs w:val="22"/>
        </w:rPr>
        <w:tab/>
        <w:t>Is there a possible regulatory requirement to notify government or other agencies of a data breach?</w:t>
      </w:r>
    </w:p>
    <w:p w14:paraId="13D2A1A8" w14:textId="77777777" w:rsidR="005B6438" w:rsidRPr="00C74063" w:rsidRDefault="005B6438" w:rsidP="009751DD">
      <w:pPr>
        <w:pStyle w:val="BodyBullet1"/>
        <w:numPr>
          <w:ilvl w:val="0"/>
          <w:numId w:val="0"/>
        </w:numPr>
        <w:spacing w:line="240" w:lineRule="auto"/>
        <w:ind w:left="2880" w:hanging="720"/>
        <w:jc w:val="both"/>
        <w:rPr>
          <w:rFonts w:ascii="Arial" w:hAnsi="Arial" w:cs="Arial"/>
          <w:sz w:val="22"/>
          <w:szCs w:val="22"/>
        </w:rPr>
      </w:pPr>
      <w:r w:rsidRPr="00C74063">
        <w:rPr>
          <w:rFonts w:ascii="Arial" w:hAnsi="Arial" w:cs="Arial"/>
          <w:sz w:val="22"/>
          <w:szCs w:val="22"/>
        </w:rPr>
        <w:t>d.</w:t>
      </w:r>
      <w:r w:rsidRPr="00C74063">
        <w:rPr>
          <w:rFonts w:ascii="Arial" w:hAnsi="Arial" w:cs="Arial"/>
          <w:sz w:val="22"/>
          <w:szCs w:val="22"/>
        </w:rPr>
        <w:tab/>
        <w:t>Are the estimated business or public relations impacts such that notification may be advisable to prevent damage to our business or brand?</w:t>
      </w:r>
    </w:p>
    <w:p w14:paraId="13D2A1A9" w14:textId="77777777" w:rsidR="005B6438" w:rsidRPr="00C74063" w:rsidRDefault="005B6438" w:rsidP="009751DD">
      <w:pPr>
        <w:pStyle w:val="BodyBullet1"/>
        <w:numPr>
          <w:ilvl w:val="0"/>
          <w:numId w:val="0"/>
        </w:numPr>
        <w:spacing w:line="240" w:lineRule="auto"/>
        <w:ind w:left="2880" w:hanging="720"/>
        <w:jc w:val="both"/>
        <w:rPr>
          <w:rFonts w:ascii="Arial" w:hAnsi="Arial" w:cs="Arial"/>
          <w:sz w:val="22"/>
          <w:szCs w:val="22"/>
        </w:rPr>
      </w:pPr>
      <w:r w:rsidRPr="00C74063">
        <w:rPr>
          <w:rFonts w:ascii="Arial" w:hAnsi="Arial" w:cs="Arial"/>
          <w:sz w:val="22"/>
          <w:szCs w:val="22"/>
        </w:rPr>
        <w:t>e.</w:t>
      </w:r>
      <w:r w:rsidRPr="00C74063">
        <w:rPr>
          <w:rFonts w:ascii="Arial" w:hAnsi="Arial" w:cs="Arial"/>
          <w:sz w:val="22"/>
          <w:szCs w:val="22"/>
        </w:rPr>
        <w:tab/>
        <w:t>Would notification help to mitigate our legal liability for the data breach?</w:t>
      </w:r>
    </w:p>
    <w:p w14:paraId="13D2A1AA" w14:textId="77777777" w:rsidR="005B6438" w:rsidRPr="00C74063" w:rsidRDefault="005B6438" w:rsidP="002110E7">
      <w:pPr>
        <w:keepNext/>
        <w:keepLines/>
        <w:ind w:left="720" w:firstLine="720"/>
        <w:jc w:val="both"/>
        <w:rPr>
          <w:rFonts w:ascii="Arial" w:hAnsi="Arial" w:cs="Arial"/>
          <w:sz w:val="22"/>
          <w:szCs w:val="22"/>
        </w:rPr>
      </w:pPr>
      <w:r w:rsidRPr="00C74063">
        <w:rPr>
          <w:rFonts w:ascii="Arial" w:hAnsi="Arial" w:cs="Arial"/>
          <w:sz w:val="22"/>
          <w:szCs w:val="22"/>
        </w:rPr>
        <w:t>3.</w:t>
      </w:r>
      <w:r w:rsidRPr="00C74063">
        <w:rPr>
          <w:rFonts w:ascii="Arial" w:hAnsi="Arial" w:cs="Arial"/>
          <w:sz w:val="22"/>
          <w:szCs w:val="22"/>
        </w:rPr>
        <w:tab/>
        <w:t>If the IRT</w:t>
      </w:r>
      <w:r w:rsidR="00B3524D">
        <w:rPr>
          <w:rFonts w:ascii="Arial" w:hAnsi="Arial" w:cs="Arial"/>
          <w:sz w:val="22"/>
          <w:szCs w:val="22"/>
        </w:rPr>
        <w:t>, with advice from legal counsel,</w:t>
      </w:r>
      <w:r w:rsidRPr="00C74063">
        <w:rPr>
          <w:rFonts w:ascii="Arial" w:hAnsi="Arial" w:cs="Arial"/>
          <w:sz w:val="22"/>
          <w:szCs w:val="22"/>
        </w:rPr>
        <w:t xml:space="preserve"> determines that notification is required or advisable, they will make recommendations outlining:</w:t>
      </w:r>
    </w:p>
    <w:p w14:paraId="13D2A1AB" w14:textId="77777777" w:rsidR="005B6438" w:rsidRPr="00C74063" w:rsidRDefault="005B6438" w:rsidP="002110E7">
      <w:pPr>
        <w:keepNext/>
        <w:keepLines/>
        <w:ind w:left="720" w:firstLine="720"/>
        <w:jc w:val="both"/>
        <w:rPr>
          <w:rFonts w:ascii="Arial" w:hAnsi="Arial" w:cs="Arial"/>
          <w:sz w:val="22"/>
          <w:szCs w:val="22"/>
        </w:rPr>
      </w:pPr>
    </w:p>
    <w:p w14:paraId="13D2A1AC" w14:textId="77777777" w:rsidR="005B6438" w:rsidRPr="00C74063" w:rsidRDefault="005B6438" w:rsidP="009751DD">
      <w:pPr>
        <w:pStyle w:val="BodyBullet1"/>
        <w:numPr>
          <w:ilvl w:val="0"/>
          <w:numId w:val="0"/>
        </w:numPr>
        <w:spacing w:line="240" w:lineRule="auto"/>
        <w:ind w:left="2880" w:hanging="720"/>
        <w:jc w:val="both"/>
        <w:rPr>
          <w:rFonts w:ascii="Arial" w:hAnsi="Arial" w:cs="Arial"/>
          <w:sz w:val="22"/>
          <w:szCs w:val="22"/>
        </w:rPr>
      </w:pPr>
      <w:r w:rsidRPr="00C74063">
        <w:rPr>
          <w:rFonts w:ascii="Arial" w:hAnsi="Arial" w:cs="Arial"/>
          <w:sz w:val="22"/>
          <w:szCs w:val="22"/>
        </w:rPr>
        <w:t>a.</w:t>
      </w:r>
      <w:r w:rsidRPr="00C74063">
        <w:rPr>
          <w:rFonts w:ascii="Arial" w:hAnsi="Arial" w:cs="Arial"/>
          <w:sz w:val="22"/>
          <w:szCs w:val="22"/>
        </w:rPr>
        <w:tab/>
        <w:t>Groups of individuals who should be notified and deadlines for notification</w:t>
      </w:r>
      <w:r w:rsidR="004F414A">
        <w:rPr>
          <w:rFonts w:ascii="Arial" w:hAnsi="Arial" w:cs="Arial"/>
          <w:sz w:val="22"/>
          <w:szCs w:val="22"/>
        </w:rPr>
        <w:t>.</w:t>
      </w:r>
    </w:p>
    <w:p w14:paraId="13D2A1AD" w14:textId="77777777" w:rsidR="005B6438" w:rsidRPr="00C74063" w:rsidRDefault="005B6438" w:rsidP="009751DD">
      <w:pPr>
        <w:pStyle w:val="BodyBullet1"/>
        <w:numPr>
          <w:ilvl w:val="0"/>
          <w:numId w:val="0"/>
        </w:numPr>
        <w:spacing w:line="240" w:lineRule="auto"/>
        <w:ind w:left="2880" w:hanging="720"/>
        <w:jc w:val="both"/>
        <w:rPr>
          <w:rFonts w:ascii="Arial" w:hAnsi="Arial" w:cs="Arial"/>
          <w:sz w:val="22"/>
          <w:szCs w:val="22"/>
        </w:rPr>
      </w:pPr>
      <w:r w:rsidRPr="00C74063">
        <w:rPr>
          <w:rFonts w:ascii="Arial" w:hAnsi="Arial" w:cs="Arial"/>
          <w:sz w:val="22"/>
          <w:szCs w:val="22"/>
        </w:rPr>
        <w:t>b.</w:t>
      </w:r>
      <w:r w:rsidRPr="00C74063">
        <w:rPr>
          <w:rFonts w:ascii="Arial" w:hAnsi="Arial" w:cs="Arial"/>
          <w:sz w:val="22"/>
          <w:szCs w:val="22"/>
        </w:rPr>
        <w:tab/>
        <w:t>State and Federal Agencies to notify, agency contacts, required information and deadlines for notification</w:t>
      </w:r>
      <w:r w:rsidR="004F414A">
        <w:rPr>
          <w:rFonts w:ascii="Arial" w:hAnsi="Arial" w:cs="Arial"/>
          <w:sz w:val="22"/>
          <w:szCs w:val="22"/>
        </w:rPr>
        <w:t>.</w:t>
      </w:r>
    </w:p>
    <w:p w14:paraId="13D2A1AE" w14:textId="77777777" w:rsidR="005B6438" w:rsidRPr="00C74063" w:rsidRDefault="005B6438" w:rsidP="009751DD">
      <w:pPr>
        <w:pStyle w:val="BodyBullet1"/>
        <w:numPr>
          <w:ilvl w:val="0"/>
          <w:numId w:val="0"/>
        </w:numPr>
        <w:spacing w:line="240" w:lineRule="auto"/>
        <w:ind w:left="2880" w:hanging="720"/>
        <w:jc w:val="both"/>
        <w:rPr>
          <w:rFonts w:ascii="Arial" w:hAnsi="Arial" w:cs="Arial"/>
          <w:sz w:val="22"/>
          <w:szCs w:val="22"/>
        </w:rPr>
      </w:pPr>
      <w:r w:rsidRPr="00C74063">
        <w:rPr>
          <w:rFonts w:ascii="Arial" w:hAnsi="Arial" w:cs="Arial"/>
          <w:sz w:val="22"/>
          <w:szCs w:val="22"/>
        </w:rPr>
        <w:t>c.</w:t>
      </w:r>
      <w:r w:rsidRPr="00C74063">
        <w:rPr>
          <w:rFonts w:ascii="Arial" w:hAnsi="Arial" w:cs="Arial"/>
          <w:sz w:val="22"/>
          <w:szCs w:val="22"/>
        </w:rPr>
        <w:tab/>
        <w:t>State Attorneys General to be notified</w:t>
      </w:r>
      <w:r w:rsidR="004F414A">
        <w:rPr>
          <w:rFonts w:ascii="Arial" w:hAnsi="Arial" w:cs="Arial"/>
          <w:sz w:val="22"/>
          <w:szCs w:val="22"/>
        </w:rPr>
        <w:t>.</w:t>
      </w:r>
    </w:p>
    <w:p w14:paraId="13D2A1AF" w14:textId="77777777" w:rsidR="005B6438" w:rsidRPr="00C74063" w:rsidRDefault="005B6438" w:rsidP="009751DD">
      <w:pPr>
        <w:pStyle w:val="BodyBullet1"/>
        <w:numPr>
          <w:ilvl w:val="0"/>
          <w:numId w:val="0"/>
        </w:numPr>
        <w:spacing w:line="240" w:lineRule="auto"/>
        <w:ind w:left="2880" w:hanging="720"/>
        <w:jc w:val="both"/>
        <w:rPr>
          <w:rFonts w:ascii="Arial" w:hAnsi="Arial" w:cs="Arial"/>
          <w:sz w:val="22"/>
          <w:szCs w:val="22"/>
        </w:rPr>
      </w:pPr>
      <w:r w:rsidRPr="00C74063">
        <w:rPr>
          <w:rFonts w:ascii="Arial" w:hAnsi="Arial" w:cs="Arial"/>
          <w:sz w:val="22"/>
          <w:szCs w:val="22"/>
        </w:rPr>
        <w:t>d.</w:t>
      </w:r>
      <w:r w:rsidRPr="00C74063">
        <w:rPr>
          <w:rFonts w:ascii="Arial" w:hAnsi="Arial" w:cs="Arial"/>
          <w:sz w:val="22"/>
          <w:szCs w:val="22"/>
        </w:rPr>
        <w:tab/>
        <w:t>Timing of notification, to protect individuals and meet legal and regulatory requirements while not interfering with any law enforcement investigation</w:t>
      </w:r>
      <w:r w:rsidR="004F414A">
        <w:rPr>
          <w:rFonts w:ascii="Arial" w:hAnsi="Arial" w:cs="Arial"/>
          <w:sz w:val="22"/>
          <w:szCs w:val="22"/>
        </w:rPr>
        <w:t>.</w:t>
      </w:r>
    </w:p>
    <w:p w14:paraId="13D2A1B0" w14:textId="77777777" w:rsidR="005B6438" w:rsidRPr="00C74063" w:rsidRDefault="007C49B8" w:rsidP="009751DD">
      <w:pPr>
        <w:pStyle w:val="BodyBullet1"/>
        <w:numPr>
          <w:ilvl w:val="0"/>
          <w:numId w:val="0"/>
        </w:numPr>
        <w:spacing w:line="240" w:lineRule="auto"/>
        <w:ind w:left="2880" w:hanging="720"/>
        <w:jc w:val="both"/>
        <w:rPr>
          <w:rFonts w:ascii="Arial" w:hAnsi="Arial" w:cs="Arial"/>
          <w:sz w:val="22"/>
          <w:szCs w:val="22"/>
        </w:rPr>
      </w:pPr>
      <w:r w:rsidRPr="00C74063">
        <w:rPr>
          <w:rFonts w:ascii="Arial" w:hAnsi="Arial" w:cs="Arial"/>
          <w:sz w:val="22"/>
          <w:szCs w:val="22"/>
        </w:rPr>
        <w:lastRenderedPageBreak/>
        <w:t>e.</w:t>
      </w:r>
      <w:r w:rsidRPr="00C74063">
        <w:rPr>
          <w:rFonts w:ascii="Arial" w:hAnsi="Arial" w:cs="Arial"/>
          <w:sz w:val="22"/>
          <w:szCs w:val="22"/>
        </w:rPr>
        <w:tab/>
        <w:t>The Various versions of the notification letters (given state nuances)</w:t>
      </w:r>
      <w:r w:rsidR="004F414A">
        <w:rPr>
          <w:rFonts w:ascii="Arial" w:hAnsi="Arial" w:cs="Arial"/>
          <w:sz w:val="22"/>
          <w:szCs w:val="22"/>
        </w:rPr>
        <w:t>.</w:t>
      </w:r>
    </w:p>
    <w:p w14:paraId="13D2A1B1" w14:textId="77777777" w:rsidR="005B6438" w:rsidRPr="00C74063" w:rsidRDefault="007C49B8" w:rsidP="009751DD">
      <w:pPr>
        <w:pStyle w:val="BodyBullet1"/>
        <w:numPr>
          <w:ilvl w:val="0"/>
          <w:numId w:val="0"/>
        </w:numPr>
        <w:spacing w:line="240" w:lineRule="auto"/>
        <w:ind w:left="2880" w:hanging="720"/>
        <w:jc w:val="both"/>
        <w:rPr>
          <w:rFonts w:ascii="Arial" w:hAnsi="Arial" w:cs="Arial"/>
          <w:sz w:val="22"/>
          <w:szCs w:val="22"/>
        </w:rPr>
      </w:pPr>
      <w:r w:rsidRPr="00C74063">
        <w:rPr>
          <w:rFonts w:ascii="Arial" w:hAnsi="Arial" w:cs="Arial"/>
          <w:sz w:val="22"/>
          <w:szCs w:val="22"/>
        </w:rPr>
        <w:t>f.</w:t>
      </w:r>
      <w:r w:rsidRPr="00C74063">
        <w:rPr>
          <w:rFonts w:ascii="Arial" w:hAnsi="Arial" w:cs="Arial"/>
          <w:sz w:val="22"/>
          <w:szCs w:val="22"/>
        </w:rPr>
        <w:tab/>
      </w:r>
      <w:r w:rsidR="005B6438" w:rsidRPr="00C74063">
        <w:rPr>
          <w:rFonts w:ascii="Arial" w:hAnsi="Arial" w:cs="Arial"/>
          <w:sz w:val="22"/>
          <w:szCs w:val="22"/>
        </w:rPr>
        <w:t xml:space="preserve">Any special notification needs (persons with disabilities, minors, military personnel on active duty, etc.) </w:t>
      </w:r>
      <w:r w:rsidR="004F414A">
        <w:rPr>
          <w:rFonts w:ascii="Arial" w:hAnsi="Arial" w:cs="Arial"/>
          <w:sz w:val="22"/>
          <w:szCs w:val="22"/>
        </w:rPr>
        <w:t>.</w:t>
      </w:r>
    </w:p>
    <w:p w14:paraId="13D2A1B2" w14:textId="77777777" w:rsidR="005B6438" w:rsidRPr="00C74063" w:rsidRDefault="007C49B8" w:rsidP="009751DD">
      <w:pPr>
        <w:pStyle w:val="BodyBullet1"/>
        <w:numPr>
          <w:ilvl w:val="0"/>
          <w:numId w:val="0"/>
        </w:numPr>
        <w:spacing w:line="240" w:lineRule="auto"/>
        <w:ind w:left="2880" w:hanging="720"/>
        <w:jc w:val="both"/>
        <w:rPr>
          <w:rFonts w:ascii="Arial" w:hAnsi="Arial" w:cs="Arial"/>
        </w:rPr>
      </w:pPr>
      <w:r w:rsidRPr="00C74063">
        <w:rPr>
          <w:rFonts w:ascii="Arial" w:hAnsi="Arial" w:cs="Arial"/>
          <w:sz w:val="22"/>
          <w:szCs w:val="22"/>
        </w:rPr>
        <w:t>g.</w:t>
      </w:r>
      <w:r w:rsidRPr="00C74063">
        <w:rPr>
          <w:rFonts w:ascii="Arial" w:hAnsi="Arial" w:cs="Arial"/>
          <w:sz w:val="22"/>
          <w:szCs w:val="22"/>
        </w:rPr>
        <w:tab/>
      </w:r>
      <w:r w:rsidR="005B6438" w:rsidRPr="00C74063">
        <w:rPr>
          <w:rFonts w:ascii="Arial" w:hAnsi="Arial" w:cs="Arial"/>
          <w:sz w:val="22"/>
          <w:szCs w:val="22"/>
        </w:rPr>
        <w:t>Recommended resources for assistance after notification (call center assistance,</w:t>
      </w:r>
      <w:r w:rsidR="005B6438" w:rsidRPr="00C74063">
        <w:rPr>
          <w:rFonts w:ascii="Arial" w:hAnsi="Arial" w:cs="Arial"/>
        </w:rPr>
        <w:t xml:space="preserve"> etc.)</w:t>
      </w:r>
      <w:r w:rsidR="004F414A">
        <w:rPr>
          <w:rFonts w:ascii="Arial" w:hAnsi="Arial" w:cs="Arial"/>
        </w:rPr>
        <w:t>.</w:t>
      </w:r>
    </w:p>
    <w:p w14:paraId="13D2A1B3" w14:textId="77777777" w:rsidR="005B6438" w:rsidRDefault="007C49B8" w:rsidP="009751DD">
      <w:pPr>
        <w:pStyle w:val="BodyText"/>
        <w:spacing w:line="240" w:lineRule="auto"/>
        <w:ind w:left="720" w:firstLine="720"/>
        <w:jc w:val="both"/>
        <w:rPr>
          <w:rFonts w:ascii="Arial" w:hAnsi="Arial" w:cs="Arial"/>
          <w:sz w:val="22"/>
          <w:szCs w:val="22"/>
        </w:rPr>
      </w:pPr>
      <w:r w:rsidRPr="00C74063">
        <w:rPr>
          <w:rFonts w:ascii="Arial" w:hAnsi="Arial" w:cs="Arial"/>
          <w:sz w:val="22"/>
          <w:szCs w:val="22"/>
        </w:rPr>
        <w:t>4.</w:t>
      </w:r>
      <w:r w:rsidRPr="00C74063">
        <w:rPr>
          <w:rFonts w:ascii="Arial" w:hAnsi="Arial" w:cs="Arial"/>
          <w:sz w:val="22"/>
          <w:szCs w:val="22"/>
        </w:rPr>
        <w:tab/>
      </w:r>
      <w:r w:rsidR="005B6438" w:rsidRPr="00C74063">
        <w:rPr>
          <w:rFonts w:ascii="Arial" w:hAnsi="Arial" w:cs="Arial"/>
          <w:sz w:val="22"/>
          <w:szCs w:val="22"/>
        </w:rPr>
        <w:t xml:space="preserve">The </w:t>
      </w:r>
      <w:r w:rsidRPr="00C74063">
        <w:rPr>
          <w:rFonts w:ascii="Arial" w:hAnsi="Arial" w:cs="Arial"/>
          <w:sz w:val="22"/>
          <w:szCs w:val="22"/>
        </w:rPr>
        <w:t>various versions</w:t>
      </w:r>
      <w:r w:rsidR="005B6438" w:rsidRPr="00C74063">
        <w:rPr>
          <w:rFonts w:ascii="Arial" w:hAnsi="Arial" w:cs="Arial"/>
          <w:sz w:val="22"/>
          <w:szCs w:val="22"/>
        </w:rPr>
        <w:t xml:space="preserve"> of </w:t>
      </w:r>
      <w:r w:rsidRPr="00C74063">
        <w:rPr>
          <w:rFonts w:ascii="Arial" w:hAnsi="Arial" w:cs="Arial"/>
          <w:sz w:val="22"/>
          <w:szCs w:val="22"/>
        </w:rPr>
        <w:t xml:space="preserve">the </w:t>
      </w:r>
      <w:r w:rsidR="005B6438" w:rsidRPr="00C74063">
        <w:rPr>
          <w:rFonts w:ascii="Arial" w:hAnsi="Arial" w:cs="Arial"/>
          <w:sz w:val="22"/>
          <w:szCs w:val="22"/>
        </w:rPr>
        <w:t>notification required will vary by situation</w:t>
      </w:r>
      <w:r w:rsidRPr="00C74063">
        <w:rPr>
          <w:rFonts w:ascii="Arial" w:hAnsi="Arial" w:cs="Arial"/>
          <w:sz w:val="22"/>
          <w:szCs w:val="22"/>
        </w:rPr>
        <w:t xml:space="preserve"> and state nuances</w:t>
      </w:r>
      <w:r w:rsidR="005B6438" w:rsidRPr="00C74063">
        <w:rPr>
          <w:rFonts w:ascii="Arial" w:hAnsi="Arial" w:cs="Arial"/>
          <w:sz w:val="22"/>
          <w:szCs w:val="22"/>
        </w:rPr>
        <w:t xml:space="preserve">, but standard best practices </w:t>
      </w:r>
      <w:r w:rsidR="004F414A">
        <w:rPr>
          <w:rFonts w:ascii="Arial" w:hAnsi="Arial" w:cs="Arial"/>
          <w:sz w:val="22"/>
          <w:szCs w:val="22"/>
        </w:rPr>
        <w:t xml:space="preserve">at this time </w:t>
      </w:r>
      <w:r w:rsidR="005B6438" w:rsidRPr="00C74063">
        <w:rPr>
          <w:rFonts w:ascii="Arial" w:hAnsi="Arial" w:cs="Arial"/>
          <w:sz w:val="22"/>
          <w:szCs w:val="22"/>
        </w:rPr>
        <w:t>include the following components:</w:t>
      </w:r>
    </w:p>
    <w:p w14:paraId="13D2A1B4" w14:textId="77777777" w:rsidR="00C74063" w:rsidRPr="00C74063" w:rsidRDefault="00C74063" w:rsidP="00C74063">
      <w:pPr>
        <w:keepNext/>
        <w:keepLines/>
        <w:ind w:left="2880" w:hanging="720"/>
        <w:jc w:val="both"/>
        <w:rPr>
          <w:rFonts w:ascii="Arial" w:hAnsi="Arial" w:cs="Arial"/>
          <w:sz w:val="22"/>
          <w:szCs w:val="22"/>
        </w:rPr>
      </w:pPr>
      <w:r w:rsidRPr="00C74063">
        <w:rPr>
          <w:rFonts w:ascii="Arial" w:hAnsi="Arial" w:cs="Arial"/>
          <w:sz w:val="22"/>
          <w:szCs w:val="22"/>
        </w:rPr>
        <w:t>a.</w:t>
      </w:r>
      <w:r w:rsidRPr="00C74063">
        <w:rPr>
          <w:rFonts w:ascii="Arial" w:hAnsi="Arial" w:cs="Arial"/>
          <w:sz w:val="22"/>
          <w:szCs w:val="22"/>
        </w:rPr>
        <w:tab/>
        <w:t>Website to enroll victims in credit monitoring or other identity theft protection services, educate consumers about identity theft and provide contact information.</w:t>
      </w:r>
    </w:p>
    <w:p w14:paraId="13D2A1B5" w14:textId="77777777" w:rsidR="00C74063" w:rsidRPr="00C74063" w:rsidRDefault="00C74063" w:rsidP="00C74063">
      <w:pPr>
        <w:keepNext/>
        <w:keepLines/>
        <w:ind w:left="2880" w:hanging="720"/>
        <w:jc w:val="both"/>
        <w:rPr>
          <w:rFonts w:ascii="Arial" w:hAnsi="Arial" w:cs="Arial"/>
          <w:sz w:val="22"/>
          <w:szCs w:val="22"/>
        </w:rPr>
      </w:pPr>
    </w:p>
    <w:p w14:paraId="13D2A1B6" w14:textId="77777777" w:rsidR="00C74063" w:rsidRDefault="00C74063" w:rsidP="00C74063">
      <w:pPr>
        <w:keepNext/>
        <w:keepLines/>
        <w:ind w:left="2880" w:hanging="720"/>
        <w:jc w:val="both"/>
        <w:rPr>
          <w:rFonts w:ascii="Arial" w:hAnsi="Arial" w:cs="Arial"/>
          <w:sz w:val="22"/>
          <w:szCs w:val="22"/>
        </w:rPr>
      </w:pPr>
      <w:r w:rsidRPr="00C74063">
        <w:rPr>
          <w:rFonts w:ascii="Arial" w:hAnsi="Arial" w:cs="Arial"/>
          <w:sz w:val="22"/>
          <w:szCs w:val="22"/>
        </w:rPr>
        <w:t>b.</w:t>
      </w:r>
      <w:r w:rsidRPr="00C74063">
        <w:rPr>
          <w:rFonts w:ascii="Arial" w:hAnsi="Arial" w:cs="Arial"/>
          <w:sz w:val="22"/>
          <w:szCs w:val="22"/>
        </w:rPr>
        <w:tab/>
        <w:t xml:space="preserve">Call center to address questions or concerns consumers may have regarding the incident or protection of their </w:t>
      </w:r>
      <w:r w:rsidR="0092275F">
        <w:rPr>
          <w:rFonts w:ascii="Arial" w:hAnsi="Arial" w:cs="Arial"/>
          <w:sz w:val="22"/>
          <w:szCs w:val="22"/>
        </w:rPr>
        <w:t>PII</w:t>
      </w:r>
      <w:r w:rsidRPr="00C74063">
        <w:rPr>
          <w:rFonts w:ascii="Arial" w:hAnsi="Arial" w:cs="Arial"/>
          <w:sz w:val="22"/>
          <w:szCs w:val="22"/>
        </w:rPr>
        <w:t>.</w:t>
      </w:r>
    </w:p>
    <w:p w14:paraId="13D2A1B7" w14:textId="77777777" w:rsidR="00A40CAB" w:rsidRPr="00C74063" w:rsidRDefault="00A40CAB" w:rsidP="00C74063">
      <w:pPr>
        <w:keepNext/>
        <w:keepLines/>
        <w:ind w:left="2880" w:hanging="720"/>
        <w:jc w:val="both"/>
        <w:rPr>
          <w:rFonts w:ascii="Arial" w:hAnsi="Arial" w:cs="Arial"/>
          <w:sz w:val="22"/>
          <w:szCs w:val="22"/>
        </w:rPr>
      </w:pPr>
    </w:p>
    <w:p w14:paraId="13D2A1B8" w14:textId="77777777" w:rsidR="00A40CAB" w:rsidRPr="00C74063" w:rsidRDefault="00A40CAB" w:rsidP="00A40CAB">
      <w:pPr>
        <w:keepNext/>
        <w:keepLines/>
        <w:ind w:left="2880" w:hanging="720"/>
        <w:jc w:val="both"/>
        <w:rPr>
          <w:rFonts w:ascii="Arial" w:hAnsi="Arial" w:cs="Arial"/>
          <w:sz w:val="22"/>
          <w:szCs w:val="22"/>
        </w:rPr>
      </w:pPr>
      <w:r w:rsidRPr="00C74063">
        <w:rPr>
          <w:rFonts w:ascii="Arial" w:hAnsi="Arial" w:cs="Arial"/>
          <w:sz w:val="22"/>
          <w:szCs w:val="22"/>
        </w:rPr>
        <w:t>c.</w:t>
      </w:r>
      <w:r w:rsidRPr="00C74063">
        <w:rPr>
          <w:rFonts w:ascii="Arial" w:hAnsi="Arial" w:cs="Arial"/>
          <w:sz w:val="22"/>
          <w:szCs w:val="22"/>
        </w:rPr>
        <w:tab/>
        <w:t xml:space="preserve">Letter to notify breach victims about the incident, inform them about preventative and credit monitoring services and direct them to public resources for monitoring their credit.  </w:t>
      </w:r>
      <w:r w:rsidR="004F414A">
        <w:rPr>
          <w:rFonts w:ascii="Arial" w:hAnsi="Arial" w:cs="Arial"/>
          <w:sz w:val="22"/>
          <w:szCs w:val="22"/>
        </w:rPr>
        <w:t>(</w:t>
      </w:r>
      <w:r w:rsidRPr="00C74063">
        <w:rPr>
          <w:rFonts w:ascii="Arial" w:hAnsi="Arial" w:cs="Arial"/>
          <w:sz w:val="22"/>
          <w:szCs w:val="22"/>
        </w:rPr>
        <w:t>It</w:t>
      </w:r>
      <w:r w:rsidR="00B3524D">
        <w:rPr>
          <w:rFonts w:ascii="Arial" w:hAnsi="Arial" w:cs="Arial"/>
          <w:sz w:val="22"/>
          <w:szCs w:val="22"/>
        </w:rPr>
        <w:t xml:space="preserve"> i</w:t>
      </w:r>
      <w:r w:rsidRPr="00C74063">
        <w:rPr>
          <w:rFonts w:ascii="Arial" w:hAnsi="Arial" w:cs="Arial"/>
          <w:sz w:val="22"/>
          <w:szCs w:val="22"/>
        </w:rPr>
        <w:t>s critical to note that no single letter can comply with every state and federal regulation</w:t>
      </w:r>
      <w:r w:rsidR="004F414A">
        <w:rPr>
          <w:rFonts w:ascii="Arial" w:hAnsi="Arial" w:cs="Arial"/>
          <w:sz w:val="22"/>
          <w:szCs w:val="22"/>
        </w:rPr>
        <w:t xml:space="preserve"> at this time</w:t>
      </w:r>
      <w:r w:rsidRPr="00C74063">
        <w:rPr>
          <w:rFonts w:ascii="Arial" w:hAnsi="Arial" w:cs="Arial"/>
          <w:sz w:val="22"/>
          <w:szCs w:val="22"/>
        </w:rPr>
        <w:t xml:space="preserve">.  External legal counsel </w:t>
      </w:r>
      <w:r w:rsidR="004F414A">
        <w:rPr>
          <w:rFonts w:ascii="Arial" w:hAnsi="Arial" w:cs="Arial"/>
          <w:sz w:val="22"/>
          <w:szCs w:val="22"/>
        </w:rPr>
        <w:t>must</w:t>
      </w:r>
      <w:r w:rsidRPr="00C74063">
        <w:rPr>
          <w:rFonts w:ascii="Arial" w:hAnsi="Arial" w:cs="Arial"/>
          <w:sz w:val="22"/>
          <w:szCs w:val="22"/>
        </w:rPr>
        <w:t xml:space="preserve"> assist in this matter.</w:t>
      </w:r>
      <w:r w:rsidR="004F414A">
        <w:rPr>
          <w:rFonts w:ascii="Arial" w:hAnsi="Arial" w:cs="Arial"/>
          <w:sz w:val="22"/>
          <w:szCs w:val="22"/>
        </w:rPr>
        <w:t>)</w:t>
      </w:r>
    </w:p>
    <w:p w14:paraId="13D2A1B9" w14:textId="77777777" w:rsidR="007E2D51" w:rsidRPr="00C74063" w:rsidRDefault="007E2D51" w:rsidP="007E2D51">
      <w:pPr>
        <w:keepNext/>
        <w:keepLines/>
        <w:ind w:left="2880" w:hanging="720"/>
        <w:jc w:val="both"/>
        <w:rPr>
          <w:rFonts w:ascii="Arial" w:hAnsi="Arial" w:cs="Arial"/>
          <w:sz w:val="22"/>
          <w:szCs w:val="22"/>
        </w:rPr>
      </w:pPr>
    </w:p>
    <w:p w14:paraId="13D2A1BA" w14:textId="77777777" w:rsidR="009751DD" w:rsidRDefault="0026383E" w:rsidP="009751DD">
      <w:pPr>
        <w:ind w:firstLine="720"/>
        <w:jc w:val="both"/>
        <w:rPr>
          <w:rFonts w:ascii="Arial" w:hAnsi="Arial" w:cs="Arial"/>
          <w:caps/>
          <w:sz w:val="22"/>
          <w:szCs w:val="22"/>
        </w:rPr>
      </w:pPr>
      <w:r w:rsidRPr="00C74063">
        <w:rPr>
          <w:rFonts w:ascii="Arial" w:hAnsi="Arial" w:cs="Arial"/>
          <w:sz w:val="22"/>
          <w:szCs w:val="22"/>
        </w:rPr>
        <w:t>C</w:t>
      </w:r>
      <w:r w:rsidR="00EA3851" w:rsidRPr="00C74063">
        <w:rPr>
          <w:rFonts w:ascii="Arial" w:hAnsi="Arial" w:cs="Arial"/>
          <w:sz w:val="22"/>
          <w:szCs w:val="22"/>
        </w:rPr>
        <w:t>.</w:t>
      </w:r>
      <w:r w:rsidR="00EA3851" w:rsidRPr="00C74063">
        <w:rPr>
          <w:rFonts w:ascii="Arial" w:hAnsi="Arial" w:cs="Arial"/>
          <w:b/>
          <w:sz w:val="22"/>
          <w:szCs w:val="22"/>
        </w:rPr>
        <w:tab/>
      </w:r>
      <w:r w:rsidR="00EA3851" w:rsidRPr="00C74063">
        <w:rPr>
          <w:rFonts w:ascii="Arial" w:hAnsi="Arial" w:cs="Arial"/>
          <w:caps/>
          <w:sz w:val="22"/>
          <w:szCs w:val="22"/>
          <w:u w:val="single"/>
        </w:rPr>
        <w:t>CREDIT MONITORING/IDENTITY THEFT PROTECTION SERVICES.</w:t>
      </w:r>
      <w:r w:rsidR="00EA3851" w:rsidRPr="00C74063">
        <w:rPr>
          <w:rFonts w:ascii="Arial" w:hAnsi="Arial" w:cs="Arial"/>
          <w:caps/>
          <w:sz w:val="22"/>
          <w:szCs w:val="22"/>
        </w:rPr>
        <w:t xml:space="preserve">  </w:t>
      </w:r>
    </w:p>
    <w:p w14:paraId="13D2A1BB" w14:textId="77777777" w:rsidR="009751DD" w:rsidRDefault="009751DD" w:rsidP="009751DD">
      <w:pPr>
        <w:ind w:firstLine="720"/>
        <w:jc w:val="both"/>
        <w:rPr>
          <w:rFonts w:ascii="Arial" w:hAnsi="Arial" w:cs="Arial"/>
          <w:caps/>
          <w:sz w:val="22"/>
          <w:szCs w:val="22"/>
        </w:rPr>
      </w:pPr>
    </w:p>
    <w:p w14:paraId="13D2A1BC" w14:textId="77777777" w:rsidR="009751DD" w:rsidRDefault="00E357B9" w:rsidP="009751DD">
      <w:pPr>
        <w:ind w:left="720" w:firstLine="720"/>
        <w:jc w:val="both"/>
        <w:rPr>
          <w:rFonts w:ascii="Arial" w:hAnsi="Arial" w:cs="Arial"/>
          <w:sz w:val="22"/>
          <w:szCs w:val="22"/>
        </w:rPr>
      </w:pPr>
      <w:r w:rsidRPr="00C74063">
        <w:rPr>
          <w:rFonts w:ascii="Arial" w:hAnsi="Arial" w:cs="Arial"/>
          <w:sz w:val="22"/>
          <w:szCs w:val="22"/>
        </w:rPr>
        <w:t>1.</w:t>
      </w:r>
      <w:r w:rsidRPr="00C74063">
        <w:rPr>
          <w:rFonts w:ascii="Arial" w:hAnsi="Arial" w:cs="Arial"/>
          <w:sz w:val="22"/>
          <w:szCs w:val="22"/>
        </w:rPr>
        <w:tab/>
        <w:t xml:space="preserve">Investigation and assessment of credit monitoring/identity theft protection needs are the responsibility of a subset of the IRT.  This team will work in consultation with external legal counsel and </w:t>
      </w:r>
      <w:r w:rsidR="00731159">
        <w:rPr>
          <w:rFonts w:ascii="Arial" w:hAnsi="Arial" w:cs="Arial"/>
          <w:sz w:val="22"/>
          <w:szCs w:val="22"/>
        </w:rPr>
        <w:t xml:space="preserve">the </w:t>
      </w:r>
      <w:r w:rsidRPr="00C74063">
        <w:rPr>
          <w:rFonts w:ascii="Arial" w:hAnsi="Arial" w:cs="Arial"/>
          <w:sz w:val="22"/>
          <w:szCs w:val="22"/>
        </w:rPr>
        <w:t>data breach notification vendor and the public relations vendor.</w:t>
      </w:r>
    </w:p>
    <w:p w14:paraId="13D2A1BD" w14:textId="77777777" w:rsidR="009751DD" w:rsidRDefault="009751DD" w:rsidP="009751DD">
      <w:pPr>
        <w:ind w:left="720" w:firstLine="720"/>
        <w:jc w:val="both"/>
        <w:rPr>
          <w:rFonts w:ascii="Arial" w:hAnsi="Arial" w:cs="Arial"/>
          <w:sz w:val="22"/>
          <w:szCs w:val="22"/>
        </w:rPr>
      </w:pPr>
    </w:p>
    <w:p w14:paraId="13D2A1BE" w14:textId="77777777" w:rsidR="009751DD" w:rsidRDefault="00E357B9" w:rsidP="009751DD">
      <w:pPr>
        <w:ind w:left="720" w:firstLine="720"/>
        <w:jc w:val="both"/>
        <w:rPr>
          <w:rFonts w:ascii="Arial" w:hAnsi="Arial" w:cs="Arial"/>
          <w:sz w:val="22"/>
          <w:szCs w:val="22"/>
        </w:rPr>
      </w:pPr>
      <w:r w:rsidRPr="00C74063">
        <w:rPr>
          <w:rFonts w:ascii="Arial" w:hAnsi="Arial" w:cs="Arial"/>
          <w:sz w:val="22"/>
          <w:szCs w:val="22"/>
        </w:rPr>
        <w:t>2.</w:t>
      </w:r>
      <w:r w:rsidRPr="00C74063">
        <w:rPr>
          <w:rFonts w:ascii="Arial" w:hAnsi="Arial" w:cs="Arial"/>
          <w:sz w:val="22"/>
          <w:szCs w:val="22"/>
        </w:rPr>
        <w:tab/>
        <w:t>Credit monitoring/identity theft protection may be required under contractual commitments or to avoid harm to the organization and/or the individuals whose data was compromised. The notification assessment needs to fully investigate the extent and risks of the data loss to determine:</w:t>
      </w:r>
    </w:p>
    <w:p w14:paraId="13D2A1BF" w14:textId="77777777" w:rsidR="009751DD" w:rsidRDefault="009751DD" w:rsidP="009751DD">
      <w:pPr>
        <w:ind w:left="720" w:firstLine="720"/>
        <w:jc w:val="both"/>
        <w:rPr>
          <w:rFonts w:ascii="Arial" w:hAnsi="Arial" w:cs="Arial"/>
          <w:sz w:val="22"/>
          <w:szCs w:val="22"/>
        </w:rPr>
      </w:pPr>
    </w:p>
    <w:p w14:paraId="13D2A1C0" w14:textId="77777777" w:rsidR="009751DD" w:rsidRDefault="00E357B9" w:rsidP="009751DD">
      <w:pPr>
        <w:ind w:left="2880" w:hanging="720"/>
        <w:jc w:val="both"/>
        <w:rPr>
          <w:rFonts w:ascii="Arial" w:hAnsi="Arial" w:cs="Arial"/>
          <w:sz w:val="22"/>
          <w:szCs w:val="22"/>
        </w:rPr>
      </w:pPr>
      <w:r w:rsidRPr="00C74063">
        <w:rPr>
          <w:rFonts w:ascii="Arial" w:hAnsi="Arial" w:cs="Arial"/>
          <w:sz w:val="22"/>
          <w:szCs w:val="22"/>
        </w:rPr>
        <w:t>a.</w:t>
      </w:r>
      <w:r w:rsidRPr="00C74063">
        <w:rPr>
          <w:rFonts w:ascii="Arial" w:hAnsi="Arial" w:cs="Arial"/>
          <w:sz w:val="22"/>
          <w:szCs w:val="22"/>
        </w:rPr>
        <w:tab/>
        <w:t>Is it possible that persons or organizations whose information was compromised will be damaged by this data breach or loss?</w:t>
      </w:r>
    </w:p>
    <w:p w14:paraId="13D2A1C1" w14:textId="77777777" w:rsidR="009751DD" w:rsidRDefault="009751DD" w:rsidP="009751DD">
      <w:pPr>
        <w:ind w:left="2880" w:hanging="720"/>
        <w:jc w:val="both"/>
        <w:rPr>
          <w:rFonts w:ascii="Arial" w:hAnsi="Arial" w:cs="Arial"/>
          <w:sz w:val="22"/>
          <w:szCs w:val="22"/>
        </w:rPr>
      </w:pPr>
    </w:p>
    <w:p w14:paraId="13D2A1C2" w14:textId="77777777" w:rsidR="00E357B9" w:rsidRPr="00C74063" w:rsidRDefault="00E357B9" w:rsidP="009751DD">
      <w:pPr>
        <w:ind w:left="2880" w:hanging="720"/>
        <w:jc w:val="both"/>
        <w:rPr>
          <w:rFonts w:ascii="Arial" w:hAnsi="Arial" w:cs="Arial"/>
          <w:sz w:val="22"/>
          <w:szCs w:val="22"/>
        </w:rPr>
      </w:pPr>
      <w:r w:rsidRPr="00C74063">
        <w:rPr>
          <w:rFonts w:ascii="Arial" w:hAnsi="Arial" w:cs="Arial"/>
          <w:sz w:val="22"/>
          <w:szCs w:val="22"/>
        </w:rPr>
        <w:t>b.</w:t>
      </w:r>
      <w:r w:rsidRPr="00C74063">
        <w:rPr>
          <w:rFonts w:ascii="Arial" w:hAnsi="Arial" w:cs="Arial"/>
          <w:sz w:val="22"/>
          <w:szCs w:val="22"/>
        </w:rPr>
        <w:tab/>
        <w:t xml:space="preserve">Are the estimated possible damages to those individuals or organizations or to the </w:t>
      </w:r>
      <w:r w:rsidR="00A64C9D">
        <w:rPr>
          <w:rFonts w:ascii="Arial" w:hAnsi="Arial" w:cs="Arial"/>
          <w:sz w:val="22"/>
          <w:szCs w:val="22"/>
        </w:rPr>
        <w:t>Organization</w:t>
      </w:r>
      <w:r w:rsidRPr="00C74063">
        <w:rPr>
          <w:rFonts w:ascii="Arial" w:hAnsi="Arial" w:cs="Arial"/>
          <w:sz w:val="22"/>
          <w:szCs w:val="22"/>
        </w:rPr>
        <w:t xml:space="preserve"> such that credit monitoring/identity theft protection services may be advisable?</w:t>
      </w:r>
    </w:p>
    <w:p w14:paraId="13D2A1C3" w14:textId="77777777" w:rsidR="00E357B9" w:rsidRDefault="00E357B9" w:rsidP="00E357B9">
      <w:pPr>
        <w:keepNext/>
        <w:keepLines/>
        <w:ind w:left="720" w:firstLine="720"/>
        <w:jc w:val="both"/>
        <w:rPr>
          <w:rFonts w:ascii="TKTypeRegular" w:hAnsi="TKTypeRegular"/>
          <w:sz w:val="22"/>
          <w:szCs w:val="22"/>
        </w:rPr>
      </w:pPr>
    </w:p>
    <w:p w14:paraId="13D2A1C4" w14:textId="77777777" w:rsidR="00E357B9" w:rsidRPr="00C74063" w:rsidRDefault="00E357B9" w:rsidP="00E357B9">
      <w:pPr>
        <w:keepNext/>
        <w:keepLines/>
        <w:ind w:left="2880" w:hanging="720"/>
        <w:jc w:val="both"/>
        <w:rPr>
          <w:rFonts w:ascii="Arial" w:hAnsi="Arial" w:cs="Arial"/>
          <w:sz w:val="22"/>
          <w:szCs w:val="22"/>
        </w:rPr>
      </w:pPr>
      <w:r w:rsidRPr="00C74063">
        <w:rPr>
          <w:rFonts w:ascii="Arial" w:hAnsi="Arial" w:cs="Arial"/>
          <w:sz w:val="22"/>
          <w:szCs w:val="22"/>
        </w:rPr>
        <w:t>c.</w:t>
      </w:r>
      <w:r w:rsidRPr="00C74063">
        <w:rPr>
          <w:rFonts w:ascii="Arial" w:hAnsi="Arial" w:cs="Arial"/>
          <w:sz w:val="22"/>
          <w:szCs w:val="22"/>
        </w:rPr>
        <w:tab/>
        <w:t xml:space="preserve">Will credit monitoring/identity theft protection properly protect the affected individuals given the information compromised (i.e., credit monitoring may not help affected individuals’ if their PHI was compromised.) </w:t>
      </w:r>
    </w:p>
    <w:p w14:paraId="13D2A1C5" w14:textId="77777777" w:rsidR="00E357B9" w:rsidRPr="00C74063" w:rsidRDefault="00E357B9" w:rsidP="00E357B9">
      <w:pPr>
        <w:keepNext/>
        <w:keepLines/>
        <w:ind w:left="720" w:firstLine="720"/>
        <w:jc w:val="both"/>
        <w:rPr>
          <w:rFonts w:ascii="Arial" w:hAnsi="Arial" w:cs="Arial"/>
          <w:sz w:val="22"/>
          <w:szCs w:val="22"/>
        </w:rPr>
      </w:pPr>
    </w:p>
    <w:p w14:paraId="13D2A1C6" w14:textId="77777777" w:rsidR="00E357B9" w:rsidRPr="00C74063" w:rsidRDefault="00E357B9" w:rsidP="00E357B9">
      <w:pPr>
        <w:keepNext/>
        <w:keepLines/>
        <w:ind w:left="2880" w:hanging="720"/>
        <w:jc w:val="both"/>
        <w:rPr>
          <w:rFonts w:ascii="Arial" w:hAnsi="Arial" w:cs="Arial"/>
          <w:sz w:val="22"/>
          <w:szCs w:val="22"/>
        </w:rPr>
      </w:pPr>
      <w:r w:rsidRPr="00C74063">
        <w:rPr>
          <w:rFonts w:ascii="Arial" w:hAnsi="Arial" w:cs="Arial"/>
          <w:sz w:val="22"/>
          <w:szCs w:val="22"/>
        </w:rPr>
        <w:t>d.</w:t>
      </w:r>
      <w:r w:rsidRPr="00C74063">
        <w:rPr>
          <w:rFonts w:ascii="Arial" w:hAnsi="Arial" w:cs="Arial"/>
          <w:sz w:val="22"/>
          <w:szCs w:val="22"/>
        </w:rPr>
        <w:tab/>
        <w:t>Are there any known contractual obligations or legal or regulatory requirements to provide credit monitoring/identity theft protection in this case?</w:t>
      </w:r>
    </w:p>
    <w:p w14:paraId="13D2A1C7" w14:textId="77777777" w:rsidR="00E357B9" w:rsidRPr="00C74063" w:rsidRDefault="00E357B9" w:rsidP="00E357B9">
      <w:pPr>
        <w:keepNext/>
        <w:keepLines/>
        <w:jc w:val="both"/>
        <w:rPr>
          <w:rFonts w:ascii="Arial" w:hAnsi="Arial" w:cs="Arial"/>
          <w:sz w:val="22"/>
          <w:szCs w:val="22"/>
        </w:rPr>
      </w:pPr>
    </w:p>
    <w:p w14:paraId="13D2A1C8" w14:textId="77777777" w:rsidR="00F340B1" w:rsidRPr="00C74063" w:rsidRDefault="0026383E" w:rsidP="00F340B1">
      <w:pPr>
        <w:ind w:firstLine="720"/>
        <w:jc w:val="both"/>
        <w:rPr>
          <w:rFonts w:ascii="Arial" w:hAnsi="Arial" w:cs="Arial"/>
          <w:sz w:val="22"/>
          <w:szCs w:val="22"/>
        </w:rPr>
      </w:pPr>
      <w:r w:rsidRPr="00C74063">
        <w:rPr>
          <w:rFonts w:ascii="Arial" w:hAnsi="Arial" w:cs="Arial"/>
          <w:sz w:val="22"/>
          <w:szCs w:val="22"/>
        </w:rPr>
        <w:t>D</w:t>
      </w:r>
      <w:r w:rsidR="00F340B1" w:rsidRPr="00C74063">
        <w:rPr>
          <w:rFonts w:ascii="Arial" w:hAnsi="Arial" w:cs="Arial"/>
          <w:sz w:val="22"/>
          <w:szCs w:val="22"/>
        </w:rPr>
        <w:t>.</w:t>
      </w:r>
      <w:r w:rsidR="00F340B1" w:rsidRPr="00C74063">
        <w:rPr>
          <w:rFonts w:ascii="Arial" w:hAnsi="Arial" w:cs="Arial"/>
          <w:sz w:val="22"/>
          <w:szCs w:val="22"/>
        </w:rPr>
        <w:tab/>
      </w:r>
      <w:r w:rsidR="00F340B1" w:rsidRPr="00C74063">
        <w:rPr>
          <w:rFonts w:ascii="Arial" w:hAnsi="Arial" w:cs="Arial"/>
          <w:sz w:val="22"/>
          <w:szCs w:val="22"/>
          <w:u w:val="single"/>
        </w:rPr>
        <w:t>CONCLUSIONS FOR PHASE</w:t>
      </w:r>
      <w:r w:rsidR="00E32F84">
        <w:rPr>
          <w:rFonts w:ascii="Arial" w:hAnsi="Arial" w:cs="Arial"/>
          <w:sz w:val="22"/>
          <w:szCs w:val="22"/>
          <w:u w:val="single"/>
        </w:rPr>
        <w:t xml:space="preserve"> 3</w:t>
      </w:r>
      <w:r w:rsidR="00F340B1" w:rsidRPr="00C74063">
        <w:rPr>
          <w:rFonts w:ascii="Arial" w:hAnsi="Arial" w:cs="Arial"/>
          <w:sz w:val="22"/>
          <w:szCs w:val="22"/>
        </w:rPr>
        <w:t xml:space="preserve">.  The Notification phase will conclude, for the most part, when all notification letters have been sent to affected individuals and appropriate state and federal agencies, re-delivery has occurred relative to those individuals with </w:t>
      </w:r>
      <w:r w:rsidR="00E32F84">
        <w:rPr>
          <w:rFonts w:ascii="Arial" w:hAnsi="Arial" w:cs="Arial"/>
          <w:sz w:val="22"/>
          <w:szCs w:val="22"/>
        </w:rPr>
        <w:t>invalid</w:t>
      </w:r>
      <w:r w:rsidR="00F340B1" w:rsidRPr="00C74063">
        <w:rPr>
          <w:rFonts w:ascii="Arial" w:hAnsi="Arial" w:cs="Arial"/>
          <w:sz w:val="22"/>
          <w:szCs w:val="22"/>
        </w:rPr>
        <w:t xml:space="preserve"> addresses on the first attempt, and once all response letters, calls and e-mails </w:t>
      </w:r>
      <w:r w:rsidR="00DD6051" w:rsidRPr="00C74063">
        <w:rPr>
          <w:rFonts w:ascii="Arial" w:hAnsi="Arial" w:cs="Arial"/>
          <w:sz w:val="22"/>
          <w:szCs w:val="22"/>
        </w:rPr>
        <w:t xml:space="preserve">from affected individuals and state and federal agencies </w:t>
      </w:r>
      <w:r w:rsidR="00F340B1" w:rsidRPr="00C74063">
        <w:rPr>
          <w:rFonts w:ascii="Arial" w:hAnsi="Arial" w:cs="Arial"/>
          <w:sz w:val="22"/>
          <w:szCs w:val="22"/>
        </w:rPr>
        <w:t xml:space="preserve">have been replied to.   </w:t>
      </w:r>
    </w:p>
    <w:p w14:paraId="13D2A1C9" w14:textId="77777777" w:rsidR="00DD59CC" w:rsidRDefault="00DD59CC" w:rsidP="00A53D20">
      <w:pPr>
        <w:jc w:val="both"/>
        <w:rPr>
          <w:rFonts w:ascii="TKTypeRegular" w:hAnsi="TKTypeRegular"/>
          <w:sz w:val="22"/>
          <w:szCs w:val="22"/>
        </w:rPr>
      </w:pPr>
    </w:p>
    <w:p w14:paraId="13D2A1CA" w14:textId="77777777" w:rsidR="00A40CAB" w:rsidRDefault="00A40CAB" w:rsidP="00C74063">
      <w:pPr>
        <w:jc w:val="both"/>
        <w:rPr>
          <w:rFonts w:ascii="Arial" w:hAnsi="Arial" w:cs="Arial"/>
          <w:b/>
          <w:sz w:val="22"/>
          <w:szCs w:val="22"/>
        </w:rPr>
      </w:pPr>
    </w:p>
    <w:p w14:paraId="13D2A1CB" w14:textId="77777777" w:rsidR="00C74063" w:rsidRPr="00650338" w:rsidRDefault="00C74063" w:rsidP="00C74063">
      <w:pPr>
        <w:jc w:val="both"/>
        <w:rPr>
          <w:rFonts w:ascii="Arial" w:hAnsi="Arial" w:cs="Arial"/>
          <w:b/>
          <w:sz w:val="22"/>
          <w:szCs w:val="22"/>
        </w:rPr>
      </w:pPr>
      <w:r w:rsidRPr="00650338">
        <w:rPr>
          <w:rFonts w:ascii="Arial" w:hAnsi="Arial" w:cs="Arial"/>
          <w:b/>
          <w:sz w:val="22"/>
          <w:szCs w:val="22"/>
        </w:rPr>
        <w:t xml:space="preserve">VII. </w:t>
      </w:r>
      <w:r w:rsidRPr="00650338">
        <w:rPr>
          <w:rFonts w:ascii="Arial" w:hAnsi="Arial" w:cs="Arial"/>
          <w:b/>
          <w:sz w:val="22"/>
          <w:szCs w:val="22"/>
        </w:rPr>
        <w:tab/>
        <w:t>PHASE 4: CLOSURE</w:t>
      </w:r>
    </w:p>
    <w:p w14:paraId="13D2A1CC" w14:textId="77777777" w:rsidR="00C74063" w:rsidRPr="00650338" w:rsidRDefault="00C74063" w:rsidP="00C74063">
      <w:pPr>
        <w:jc w:val="both"/>
        <w:rPr>
          <w:rFonts w:ascii="Arial" w:hAnsi="Arial" w:cs="Arial"/>
          <w:b/>
          <w:sz w:val="22"/>
          <w:szCs w:val="22"/>
        </w:rPr>
      </w:pPr>
    </w:p>
    <w:p w14:paraId="13D2A1CD" w14:textId="77777777" w:rsidR="00BD666D" w:rsidRDefault="00C74063" w:rsidP="00C74063">
      <w:pPr>
        <w:ind w:firstLine="720"/>
        <w:jc w:val="both"/>
        <w:rPr>
          <w:rFonts w:ascii="Arial" w:hAnsi="Arial" w:cs="Arial"/>
          <w:sz w:val="22"/>
          <w:szCs w:val="22"/>
        </w:rPr>
      </w:pPr>
      <w:r w:rsidRPr="00650338">
        <w:rPr>
          <w:rFonts w:ascii="Arial" w:hAnsi="Arial" w:cs="Arial"/>
          <w:sz w:val="22"/>
          <w:szCs w:val="22"/>
        </w:rPr>
        <w:t>A.</w:t>
      </w:r>
      <w:r w:rsidRPr="00650338">
        <w:rPr>
          <w:rFonts w:ascii="Arial" w:hAnsi="Arial" w:cs="Arial"/>
          <w:b/>
          <w:sz w:val="22"/>
          <w:szCs w:val="22"/>
        </w:rPr>
        <w:tab/>
      </w:r>
      <w:r w:rsidRPr="00650338">
        <w:rPr>
          <w:rFonts w:ascii="Arial" w:hAnsi="Arial" w:cs="Arial"/>
          <w:caps/>
          <w:sz w:val="22"/>
          <w:szCs w:val="22"/>
          <w:u w:val="single"/>
        </w:rPr>
        <w:t>OBJECTIVE</w:t>
      </w:r>
      <w:r w:rsidRPr="00650338">
        <w:rPr>
          <w:rFonts w:ascii="Arial" w:hAnsi="Arial" w:cs="Arial"/>
          <w:caps/>
          <w:sz w:val="22"/>
          <w:szCs w:val="22"/>
        </w:rPr>
        <w:t xml:space="preserve">.  </w:t>
      </w:r>
      <w:r w:rsidR="00BD666D">
        <w:rPr>
          <w:rFonts w:ascii="Arial" w:hAnsi="Arial" w:cs="Arial"/>
          <w:sz w:val="22"/>
          <w:szCs w:val="22"/>
        </w:rPr>
        <w:t>After</w:t>
      </w:r>
      <w:r w:rsidR="00BD666D" w:rsidRPr="00842625">
        <w:rPr>
          <w:rFonts w:ascii="Arial" w:hAnsi="Arial" w:cs="Arial"/>
          <w:sz w:val="22"/>
          <w:szCs w:val="22"/>
        </w:rPr>
        <w:t xml:space="preserve"> the IRT has the opportunity to review the incident, the actions taken, the effectiveness of the IRP and the reaction from affected individuals</w:t>
      </w:r>
      <w:r w:rsidR="00BD666D">
        <w:rPr>
          <w:rFonts w:ascii="Arial" w:hAnsi="Arial" w:cs="Arial"/>
          <w:sz w:val="22"/>
          <w:szCs w:val="22"/>
        </w:rPr>
        <w:t>, it shall make all appropriate documentations and close out the incident.</w:t>
      </w:r>
    </w:p>
    <w:p w14:paraId="13D2A1CE" w14:textId="77777777" w:rsidR="00BD666D" w:rsidRDefault="00BD666D" w:rsidP="00C74063">
      <w:pPr>
        <w:ind w:firstLine="720"/>
        <w:jc w:val="both"/>
        <w:rPr>
          <w:rFonts w:ascii="Arial" w:hAnsi="Arial" w:cs="Arial"/>
          <w:caps/>
          <w:sz w:val="22"/>
          <w:szCs w:val="22"/>
        </w:rPr>
      </w:pPr>
    </w:p>
    <w:p w14:paraId="13D2A1CF" w14:textId="77777777" w:rsidR="00B316D5" w:rsidRPr="00C74063" w:rsidRDefault="006521D5" w:rsidP="00B316D5">
      <w:pPr>
        <w:ind w:firstLine="720"/>
        <w:jc w:val="both"/>
        <w:rPr>
          <w:rFonts w:ascii="Arial" w:hAnsi="Arial" w:cs="Arial"/>
          <w:sz w:val="22"/>
          <w:szCs w:val="22"/>
        </w:rPr>
      </w:pPr>
      <w:r>
        <w:rPr>
          <w:rFonts w:ascii="Arial" w:hAnsi="Arial" w:cs="Arial"/>
          <w:sz w:val="22"/>
          <w:szCs w:val="22"/>
        </w:rPr>
        <w:t>B</w:t>
      </w:r>
      <w:r w:rsidR="00B316D5" w:rsidRPr="00C74063">
        <w:rPr>
          <w:rFonts w:ascii="Arial" w:hAnsi="Arial" w:cs="Arial"/>
          <w:sz w:val="22"/>
          <w:szCs w:val="22"/>
        </w:rPr>
        <w:t>.</w:t>
      </w:r>
      <w:r w:rsidR="00B316D5" w:rsidRPr="00C74063">
        <w:rPr>
          <w:rFonts w:ascii="Arial" w:hAnsi="Arial" w:cs="Arial"/>
          <w:sz w:val="22"/>
          <w:szCs w:val="22"/>
        </w:rPr>
        <w:tab/>
      </w:r>
      <w:r w:rsidR="00B316D5" w:rsidRPr="00C74063">
        <w:rPr>
          <w:rFonts w:ascii="Arial" w:hAnsi="Arial" w:cs="Arial"/>
          <w:sz w:val="22"/>
          <w:szCs w:val="22"/>
          <w:u w:val="single"/>
        </w:rPr>
        <w:t>CONCLUSIONS FOR PHASE</w:t>
      </w:r>
      <w:r w:rsidR="00B316D5">
        <w:rPr>
          <w:rFonts w:ascii="Arial" w:hAnsi="Arial" w:cs="Arial"/>
          <w:sz w:val="22"/>
          <w:szCs w:val="22"/>
          <w:u w:val="single"/>
        </w:rPr>
        <w:t xml:space="preserve"> 4</w:t>
      </w:r>
      <w:r w:rsidR="00B316D5" w:rsidRPr="00C74063">
        <w:rPr>
          <w:rFonts w:ascii="Arial" w:hAnsi="Arial" w:cs="Arial"/>
          <w:sz w:val="22"/>
          <w:szCs w:val="22"/>
        </w:rPr>
        <w:t xml:space="preserve">.  The </w:t>
      </w:r>
      <w:r w:rsidR="00B316D5">
        <w:rPr>
          <w:rFonts w:ascii="Arial" w:hAnsi="Arial" w:cs="Arial"/>
          <w:sz w:val="22"/>
          <w:szCs w:val="22"/>
        </w:rPr>
        <w:t>Closure</w:t>
      </w:r>
      <w:r w:rsidR="00B316D5" w:rsidRPr="00C74063">
        <w:rPr>
          <w:rFonts w:ascii="Arial" w:hAnsi="Arial" w:cs="Arial"/>
          <w:sz w:val="22"/>
          <w:szCs w:val="22"/>
        </w:rPr>
        <w:t xml:space="preserve"> phase will conclude, for the most part, </w:t>
      </w:r>
      <w:r w:rsidR="00B316D5">
        <w:rPr>
          <w:rFonts w:ascii="Arial" w:hAnsi="Arial" w:cs="Arial"/>
          <w:sz w:val="22"/>
          <w:szCs w:val="22"/>
        </w:rPr>
        <w:t>after the Closure Report is completed, all responses to state and federal regulators have been made and the call center is closed</w:t>
      </w:r>
      <w:r w:rsidR="00B316D5" w:rsidRPr="00C74063">
        <w:rPr>
          <w:rFonts w:ascii="Arial" w:hAnsi="Arial" w:cs="Arial"/>
          <w:sz w:val="22"/>
          <w:szCs w:val="22"/>
        </w:rPr>
        <w:t xml:space="preserve">.   </w:t>
      </w:r>
    </w:p>
    <w:p w14:paraId="13D2A1D0" w14:textId="77777777" w:rsidR="00063FA2" w:rsidRDefault="00063FA2" w:rsidP="009B5F49">
      <w:pPr>
        <w:jc w:val="both"/>
        <w:rPr>
          <w:rFonts w:ascii="TKTypeRegular" w:hAnsi="TKTypeRegular"/>
          <w:sz w:val="22"/>
          <w:szCs w:val="22"/>
        </w:rPr>
      </w:pPr>
    </w:p>
    <w:p w14:paraId="57B781DE" w14:textId="77777777" w:rsidR="00AC73E8" w:rsidRDefault="00AC73E8" w:rsidP="009B5F49">
      <w:pPr>
        <w:jc w:val="both"/>
        <w:rPr>
          <w:rFonts w:ascii="TKTypeRegular" w:hAnsi="TKTypeRegular"/>
          <w:sz w:val="22"/>
          <w:szCs w:val="22"/>
        </w:rPr>
      </w:pPr>
    </w:p>
    <w:p w14:paraId="6F828F97" w14:textId="77777777" w:rsidR="00AC73E8" w:rsidRDefault="00AC73E8" w:rsidP="009B5F49">
      <w:pPr>
        <w:jc w:val="both"/>
        <w:rPr>
          <w:rFonts w:ascii="TKTypeRegular" w:hAnsi="TKTypeRegular"/>
          <w:sz w:val="22"/>
          <w:szCs w:val="22"/>
        </w:rPr>
      </w:pPr>
    </w:p>
    <w:p w14:paraId="632F92DE" w14:textId="77777777" w:rsidR="00AC73E8" w:rsidRDefault="00AC73E8" w:rsidP="009B5F49">
      <w:pPr>
        <w:jc w:val="both"/>
        <w:rPr>
          <w:rFonts w:ascii="TKTypeRegular" w:hAnsi="TKTypeRegular"/>
          <w:sz w:val="22"/>
          <w:szCs w:val="22"/>
        </w:rPr>
      </w:pPr>
    </w:p>
    <w:p w14:paraId="41D6C54E" w14:textId="77777777" w:rsidR="00AC73E8" w:rsidRDefault="00AC73E8" w:rsidP="009B5F49">
      <w:pPr>
        <w:jc w:val="both"/>
        <w:rPr>
          <w:rFonts w:ascii="TKTypeRegular" w:hAnsi="TKTypeRegular"/>
          <w:sz w:val="22"/>
          <w:szCs w:val="22"/>
        </w:rPr>
      </w:pPr>
    </w:p>
    <w:p w14:paraId="52DEE6C7" w14:textId="77777777" w:rsidR="00AC73E8" w:rsidRDefault="00AC73E8" w:rsidP="009B5F49">
      <w:pPr>
        <w:jc w:val="both"/>
        <w:rPr>
          <w:rFonts w:ascii="TKTypeRegular" w:hAnsi="TKTypeRegular"/>
          <w:sz w:val="22"/>
          <w:szCs w:val="22"/>
        </w:rPr>
      </w:pPr>
    </w:p>
    <w:p w14:paraId="0C691F51" w14:textId="77777777" w:rsidR="00AC73E8" w:rsidRDefault="00AC73E8" w:rsidP="009B5F49">
      <w:pPr>
        <w:jc w:val="both"/>
        <w:rPr>
          <w:rFonts w:ascii="TKTypeRegular" w:hAnsi="TKTypeRegular"/>
          <w:sz w:val="22"/>
          <w:szCs w:val="22"/>
        </w:rPr>
      </w:pPr>
    </w:p>
    <w:p w14:paraId="1F347B48" w14:textId="77777777" w:rsidR="00AC73E8" w:rsidRDefault="00AC73E8" w:rsidP="009B5F49">
      <w:pPr>
        <w:jc w:val="both"/>
        <w:rPr>
          <w:rFonts w:ascii="TKTypeRegular" w:hAnsi="TKTypeRegular"/>
          <w:sz w:val="22"/>
          <w:szCs w:val="22"/>
        </w:rPr>
      </w:pPr>
    </w:p>
    <w:p w14:paraId="74B4C3B5" w14:textId="77777777" w:rsidR="00AC73E8" w:rsidRDefault="00AC73E8" w:rsidP="009B5F49">
      <w:pPr>
        <w:jc w:val="both"/>
        <w:rPr>
          <w:rFonts w:ascii="TKTypeRegular" w:hAnsi="TKTypeRegular"/>
          <w:sz w:val="22"/>
          <w:szCs w:val="22"/>
        </w:rPr>
      </w:pPr>
    </w:p>
    <w:p w14:paraId="00656534" w14:textId="77777777" w:rsidR="00AC73E8" w:rsidRDefault="00AC73E8" w:rsidP="009B5F49">
      <w:pPr>
        <w:jc w:val="both"/>
        <w:rPr>
          <w:rFonts w:ascii="TKTypeRegular" w:hAnsi="TKTypeRegular"/>
          <w:sz w:val="22"/>
          <w:szCs w:val="22"/>
        </w:rPr>
      </w:pPr>
    </w:p>
    <w:p w14:paraId="01BEA2B7" w14:textId="77777777" w:rsidR="00AC73E8" w:rsidRDefault="00AC73E8" w:rsidP="009B5F49">
      <w:pPr>
        <w:jc w:val="both"/>
        <w:rPr>
          <w:rFonts w:ascii="TKTypeRegular" w:hAnsi="TKTypeRegular"/>
          <w:sz w:val="22"/>
          <w:szCs w:val="22"/>
        </w:rPr>
      </w:pPr>
    </w:p>
    <w:p w14:paraId="672A633D" w14:textId="77777777" w:rsidR="00AC73E8" w:rsidRDefault="00AC73E8" w:rsidP="009B5F49">
      <w:pPr>
        <w:jc w:val="both"/>
        <w:rPr>
          <w:rFonts w:ascii="TKTypeRegular" w:hAnsi="TKTypeRegular"/>
          <w:sz w:val="22"/>
          <w:szCs w:val="22"/>
        </w:rPr>
      </w:pPr>
    </w:p>
    <w:p w14:paraId="5F4D28F3" w14:textId="77777777" w:rsidR="00AC73E8" w:rsidRDefault="00AC73E8" w:rsidP="009B5F49">
      <w:pPr>
        <w:jc w:val="both"/>
        <w:rPr>
          <w:rFonts w:ascii="TKTypeRegular" w:hAnsi="TKTypeRegular"/>
          <w:sz w:val="22"/>
          <w:szCs w:val="22"/>
        </w:rPr>
      </w:pPr>
    </w:p>
    <w:p w14:paraId="7150485B" w14:textId="77777777" w:rsidR="00AC73E8" w:rsidRDefault="00AC73E8" w:rsidP="009B5F49">
      <w:pPr>
        <w:jc w:val="both"/>
        <w:rPr>
          <w:rFonts w:ascii="TKTypeRegular" w:hAnsi="TKTypeRegular"/>
          <w:sz w:val="22"/>
          <w:szCs w:val="22"/>
        </w:rPr>
      </w:pPr>
    </w:p>
    <w:p w14:paraId="5CA26109" w14:textId="77777777" w:rsidR="00AC73E8" w:rsidRDefault="00AC73E8" w:rsidP="009B5F49">
      <w:pPr>
        <w:jc w:val="both"/>
        <w:rPr>
          <w:rFonts w:ascii="TKTypeRegular" w:hAnsi="TKTypeRegular"/>
          <w:sz w:val="22"/>
          <w:szCs w:val="22"/>
        </w:rPr>
      </w:pPr>
    </w:p>
    <w:p w14:paraId="4B3F0393" w14:textId="77777777" w:rsidR="00A37C8F" w:rsidRDefault="00A37C8F" w:rsidP="009B5F49">
      <w:pPr>
        <w:jc w:val="both"/>
        <w:rPr>
          <w:rFonts w:ascii="TKTypeRegular" w:hAnsi="TKTypeRegular"/>
          <w:sz w:val="22"/>
          <w:szCs w:val="22"/>
        </w:rPr>
      </w:pPr>
    </w:p>
    <w:p w14:paraId="078A8C7A" w14:textId="77777777" w:rsidR="00AC73E8" w:rsidRDefault="00AC73E8" w:rsidP="009B5F49">
      <w:pPr>
        <w:jc w:val="both"/>
        <w:rPr>
          <w:rFonts w:ascii="TKTypeRegular" w:hAnsi="TKTypeRegular"/>
          <w:sz w:val="22"/>
          <w:szCs w:val="22"/>
        </w:rPr>
      </w:pPr>
    </w:p>
    <w:p w14:paraId="370C27B5" w14:textId="539575C4" w:rsidR="00AC73E8" w:rsidRPr="00854DFD" w:rsidRDefault="00A37C8F" w:rsidP="00A37C8F">
      <w:pPr>
        <w:pStyle w:val="BodyText2"/>
        <w:ind w:left="0"/>
        <w:rPr>
          <w:rFonts w:ascii="TKTypeRegular" w:hAnsi="TKTypeRegular"/>
        </w:rPr>
      </w:pPr>
      <w:r w:rsidRPr="0086181A">
        <w:rPr>
          <w:sz w:val="16"/>
          <w:szCs w:val="16"/>
          <w:lang w:val="en-GB"/>
        </w:rPr>
        <w:t>The information set forth in this document is intended as general risk management information. It is made available with the understanding that Beazley does not render legal services or advice. It should not be construed or relied upon as legal advice and is not intended as a substitute for consultation with counsel. Beazley has not examined and/ or had access to any particular circumstances, needs, contracts and/or operations of any party having access to this document. There may be specific issues under applicable law, or related to the particular circumstances of your contracts or operations, for which you may wish the assistance of counsel. Although reasonable care has been taken in preparing the information set forth in this document, Beazley accepts no responsibility for any errors it may contain or for any losses allegedly attributable to this information.</w:t>
      </w:r>
    </w:p>
    <w:sectPr w:rsidR="00AC73E8" w:rsidRPr="00854DFD" w:rsidSect="006E1522">
      <w:headerReference w:type="default" r:id="rId9"/>
      <w:footerReference w:type="default" r:id="rId10"/>
      <w:pgSz w:w="12240" w:h="15840"/>
      <w:pgMar w:top="1440" w:right="1440" w:bottom="1440" w:left="1440" w:header="720" w:footer="720" w:gutter="0"/>
      <w:pgBorders w:offsetFrom="page">
        <w:top w:val="single" w:sz="8" w:space="24" w:color="auto"/>
        <w:left w:val="single" w:sz="8" w:space="24" w:color="auto"/>
        <w:bottom w:val="single" w:sz="8" w:space="24" w:color="auto"/>
        <w:right w:val="single" w:sz="8" w:space="24" w:color="auto"/>
      </w:pgBorder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D2A1D3" w14:textId="77777777" w:rsidR="00A64C9D" w:rsidRDefault="00A64C9D">
      <w:r>
        <w:separator/>
      </w:r>
    </w:p>
  </w:endnote>
  <w:endnote w:type="continuationSeparator" w:id="0">
    <w:p w14:paraId="13D2A1D4" w14:textId="77777777" w:rsidR="00A64C9D" w:rsidRDefault="00A64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KTypeRegular">
    <w:altName w:val="Franklin Gothic Medium Cond"/>
    <w:charset w:val="00"/>
    <w:family w:val="swiss"/>
    <w:pitch w:val="variable"/>
    <w:sig w:usb0="00000003" w:usb1="0000004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D2A1DE" w14:textId="77777777" w:rsidR="007A4844" w:rsidRPr="00E82FAB" w:rsidRDefault="007A4844" w:rsidP="007A4844">
    <w:pPr>
      <w:pStyle w:val="Footer"/>
      <w:jc w:val="center"/>
      <w:rPr>
        <w:rFonts w:ascii="Arial" w:hAnsi="Arial" w:cs="Arial"/>
        <w:sz w:val="16"/>
        <w:szCs w:val="16"/>
      </w:rPr>
    </w:pPr>
    <w:r w:rsidRPr="00E82FAB">
      <w:rPr>
        <w:rFonts w:ascii="Arial" w:hAnsi="Arial" w:cs="Arial"/>
        <w:sz w:val="16"/>
        <w:szCs w:val="16"/>
      </w:rPr>
      <w:fldChar w:fldCharType="begin"/>
    </w:r>
    <w:r w:rsidRPr="00E82FAB">
      <w:rPr>
        <w:rFonts w:ascii="Arial" w:hAnsi="Arial" w:cs="Arial"/>
        <w:sz w:val="16"/>
        <w:szCs w:val="16"/>
      </w:rPr>
      <w:instrText xml:space="preserve"> PAGE   \* MERGEFORMAT </w:instrText>
    </w:r>
    <w:r w:rsidRPr="00E82FAB">
      <w:rPr>
        <w:rFonts w:ascii="Arial" w:hAnsi="Arial" w:cs="Arial"/>
        <w:sz w:val="16"/>
        <w:szCs w:val="16"/>
      </w:rPr>
      <w:fldChar w:fldCharType="separate"/>
    </w:r>
    <w:r w:rsidR="00D0774F">
      <w:rPr>
        <w:rFonts w:ascii="Arial" w:hAnsi="Arial" w:cs="Arial"/>
        <w:noProof/>
        <w:sz w:val="16"/>
        <w:szCs w:val="16"/>
      </w:rPr>
      <w:t>1</w:t>
    </w:r>
    <w:r w:rsidRPr="00E82FAB">
      <w:rPr>
        <w:rFonts w:ascii="Arial" w:hAnsi="Arial" w:cs="Arial"/>
        <w:noProof/>
        <w:sz w:val="16"/>
        <w:szCs w:val="16"/>
      </w:rPr>
      <w:fldChar w:fldCharType="end"/>
    </w:r>
  </w:p>
  <w:p w14:paraId="13D2A1DF" w14:textId="77777777" w:rsidR="00A64C9D" w:rsidRPr="00F74F93" w:rsidRDefault="00A64C9D" w:rsidP="00554C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D2A1D1" w14:textId="77777777" w:rsidR="00A64C9D" w:rsidRDefault="00A64C9D">
      <w:pPr>
        <w:rPr>
          <w:noProof/>
        </w:rPr>
      </w:pPr>
      <w:r>
        <w:rPr>
          <w:noProof/>
        </w:rPr>
        <w:separator/>
      </w:r>
    </w:p>
  </w:footnote>
  <w:footnote w:type="continuationSeparator" w:id="0">
    <w:p w14:paraId="13D2A1D2" w14:textId="77777777" w:rsidR="00A64C9D" w:rsidRDefault="00A64C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D2A1D6" w14:textId="77777777" w:rsidR="00A64C9D" w:rsidRPr="00A64C9D" w:rsidRDefault="00A64C9D" w:rsidP="002E20EE">
    <w:pPr>
      <w:pStyle w:val="Header"/>
      <w:jc w:val="center"/>
      <w:rPr>
        <w:rFonts w:ascii="Arial" w:hAnsi="Arial" w:cs="Arial"/>
        <w:b/>
        <w:sz w:val="26"/>
        <w:szCs w:val="26"/>
        <w:u w:val="single"/>
      </w:rPr>
    </w:pPr>
  </w:p>
  <w:p w14:paraId="13D2A1D7" w14:textId="77777777" w:rsidR="00A64C9D" w:rsidRPr="00A64C9D" w:rsidRDefault="00A64C9D" w:rsidP="00A64C9D">
    <w:pPr>
      <w:pStyle w:val="Header"/>
      <w:rPr>
        <w:rFonts w:ascii="Arial" w:hAnsi="Arial" w:cs="Arial"/>
        <w:b/>
        <w:noProof/>
        <w:sz w:val="26"/>
        <w:szCs w:val="26"/>
        <w:u w:val="single"/>
      </w:rPr>
    </w:pPr>
    <w:r w:rsidRPr="00A64C9D">
      <w:rPr>
        <w:rFonts w:ascii="Arial" w:hAnsi="Arial" w:cs="Arial"/>
        <w:b/>
        <w:sz w:val="26"/>
        <w:szCs w:val="26"/>
        <w:u w:val="single"/>
      </w:rPr>
      <w:t>Sample Incident Response Plan</w:t>
    </w:r>
    <w:r w:rsidRPr="00A64C9D">
      <w:rPr>
        <w:rFonts w:ascii="Arial" w:hAnsi="Arial" w:cs="Arial"/>
        <w:b/>
        <w:noProof/>
        <w:sz w:val="26"/>
        <w:szCs w:val="26"/>
        <w:u w:val="single"/>
      </w:rPr>
      <w:t xml:space="preserve"> (</w:t>
    </w:r>
    <w:r w:rsidR="00CD2017">
      <w:rPr>
        <w:rFonts w:ascii="Arial" w:hAnsi="Arial" w:cs="Arial"/>
        <w:b/>
        <w:noProof/>
        <w:sz w:val="26"/>
        <w:szCs w:val="26"/>
        <w:u w:val="single"/>
      </w:rPr>
      <w:t>Shorter</w:t>
    </w:r>
    <w:r w:rsidRPr="00A64C9D">
      <w:rPr>
        <w:rFonts w:ascii="Arial" w:hAnsi="Arial" w:cs="Arial"/>
        <w:b/>
        <w:noProof/>
        <w:sz w:val="26"/>
        <w:szCs w:val="26"/>
        <w:u w:val="single"/>
      </w:rPr>
      <w:t xml:space="preserve"> Form)</w:t>
    </w:r>
  </w:p>
  <w:p w14:paraId="13D2A1D8" w14:textId="77777777" w:rsidR="00A64C9D" w:rsidRDefault="00A64C9D" w:rsidP="002E20EE">
    <w:pPr>
      <w:pStyle w:val="Header"/>
      <w:jc w:val="center"/>
      <w:rPr>
        <w:rFonts w:ascii="TKTypeRegular" w:hAnsi="TKTypeRegular"/>
        <w:noProof/>
        <w:sz w:val="22"/>
        <w:szCs w:val="22"/>
      </w:rPr>
    </w:pPr>
  </w:p>
  <w:p w14:paraId="13D2A1D9" w14:textId="77777777" w:rsidR="00A64C9D" w:rsidRDefault="00A64C9D" w:rsidP="002E20E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BF883B5E"/>
    <w:lvl w:ilvl="0">
      <w:start w:val="1"/>
      <w:numFmt w:val="bullet"/>
      <w:pStyle w:val="ListBullet"/>
      <w:lvlText w:val=""/>
      <w:lvlJc w:val="left"/>
      <w:pPr>
        <w:tabs>
          <w:tab w:val="num" w:pos="216"/>
        </w:tabs>
        <w:ind w:left="216" w:hanging="216"/>
      </w:pPr>
      <w:rPr>
        <w:rFonts w:ascii="Symbol" w:hAnsi="Symbol" w:hint="default"/>
      </w:rPr>
    </w:lvl>
  </w:abstractNum>
  <w:abstractNum w:abstractNumId="1" w15:restartNumberingAfterBreak="0">
    <w:nsid w:val="05C8786A"/>
    <w:multiLevelType w:val="hybridMultilevel"/>
    <w:tmpl w:val="C714C29A"/>
    <w:lvl w:ilvl="0" w:tplc="6500507A">
      <w:start w:val="4"/>
      <w:numFmt w:val="bullet"/>
      <w:lvlText w:val="–"/>
      <w:lvlJc w:val="left"/>
      <w:pPr>
        <w:ind w:left="1080" w:hanging="360"/>
      </w:pPr>
      <w:rPr>
        <w:rFonts w:ascii="TKTypeRegular" w:eastAsia="Times New Roman" w:hAnsi="TKTypeRegular"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8DA5328"/>
    <w:multiLevelType w:val="hybridMultilevel"/>
    <w:tmpl w:val="B9BE63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CC626C"/>
    <w:multiLevelType w:val="hybridMultilevel"/>
    <w:tmpl w:val="83C23434"/>
    <w:lvl w:ilvl="0" w:tplc="6AB410F2">
      <w:start w:val="4"/>
      <w:numFmt w:val="bullet"/>
      <w:lvlText w:val="–"/>
      <w:lvlJc w:val="left"/>
      <w:pPr>
        <w:ind w:left="720" w:hanging="360"/>
      </w:pPr>
      <w:rPr>
        <w:rFonts w:ascii="TKTypeRegular" w:eastAsia="Times New Roman" w:hAnsi="TKTypeRegular"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B22863"/>
    <w:multiLevelType w:val="hybridMultilevel"/>
    <w:tmpl w:val="CD5AA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9F6415"/>
    <w:multiLevelType w:val="hybridMultilevel"/>
    <w:tmpl w:val="2F0670D8"/>
    <w:lvl w:ilvl="0" w:tplc="5D3A0446">
      <w:start w:val="4"/>
      <w:numFmt w:val="bullet"/>
      <w:lvlText w:val="–"/>
      <w:lvlJc w:val="left"/>
      <w:pPr>
        <w:ind w:left="1440" w:hanging="360"/>
      </w:pPr>
      <w:rPr>
        <w:rFonts w:ascii="TKTypeRegular" w:eastAsia="Times New Roman" w:hAnsi="TKTypeRegular"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FD53C52"/>
    <w:multiLevelType w:val="hybridMultilevel"/>
    <w:tmpl w:val="D23CC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5A387B"/>
    <w:multiLevelType w:val="hybridMultilevel"/>
    <w:tmpl w:val="BC2C7E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0A2F9D"/>
    <w:multiLevelType w:val="multilevel"/>
    <w:tmpl w:val="D0F00D66"/>
    <w:name w:val="Outline2"/>
    <w:lvl w:ilvl="0">
      <w:start w:val="1"/>
      <w:numFmt w:val="upperRoman"/>
      <w:lvlRestart w:val="0"/>
      <w:pStyle w:val="Level1"/>
      <w:lvlText w:val="%1."/>
      <w:lvlJc w:val="left"/>
      <w:pPr>
        <w:tabs>
          <w:tab w:val="num" w:pos="720"/>
        </w:tabs>
        <w:ind w:left="720" w:hanging="720"/>
      </w:pPr>
      <w:rPr>
        <w:rFonts w:cs="Times New Roman" w:hint="default"/>
        <w:b w:val="0"/>
        <w:i w:val="0"/>
        <w:caps w:val="0"/>
        <w:u w:val="none"/>
      </w:rPr>
    </w:lvl>
    <w:lvl w:ilvl="1">
      <w:start w:val="1"/>
      <w:numFmt w:val="upperLetter"/>
      <w:pStyle w:val="Level2"/>
      <w:lvlText w:val="%2."/>
      <w:lvlJc w:val="left"/>
      <w:pPr>
        <w:tabs>
          <w:tab w:val="num" w:pos="1440"/>
        </w:tabs>
        <w:ind w:left="1440" w:hanging="720"/>
      </w:pPr>
      <w:rPr>
        <w:rFonts w:cs="Times New Roman" w:hint="default"/>
        <w:b w:val="0"/>
        <w:i w:val="0"/>
        <w:u w:val="none"/>
      </w:rPr>
    </w:lvl>
    <w:lvl w:ilvl="2">
      <w:start w:val="1"/>
      <w:numFmt w:val="decimal"/>
      <w:pStyle w:val="Level3"/>
      <w:lvlText w:val="%3."/>
      <w:lvlJc w:val="left"/>
      <w:pPr>
        <w:tabs>
          <w:tab w:val="num" w:pos="2340"/>
        </w:tabs>
        <w:ind w:left="2340" w:hanging="720"/>
      </w:pPr>
      <w:rPr>
        <w:rFonts w:cs="Times New Roman" w:hint="default"/>
        <w:b w:val="0"/>
        <w:i w:val="0"/>
        <w:u w:val="none"/>
      </w:rPr>
    </w:lvl>
    <w:lvl w:ilvl="3">
      <w:start w:val="1"/>
      <w:numFmt w:val="lowerLetter"/>
      <w:pStyle w:val="Level4"/>
      <w:lvlText w:val="%4."/>
      <w:lvlJc w:val="left"/>
      <w:pPr>
        <w:tabs>
          <w:tab w:val="num" w:pos="2880"/>
        </w:tabs>
        <w:ind w:left="2880" w:hanging="720"/>
      </w:pPr>
      <w:rPr>
        <w:rFonts w:cs="Times New Roman" w:hint="default"/>
        <w:b w:val="0"/>
        <w:i w:val="0"/>
        <w:u w:val="none"/>
      </w:rPr>
    </w:lvl>
    <w:lvl w:ilvl="4">
      <w:start w:val="1"/>
      <w:numFmt w:val="decimal"/>
      <w:pStyle w:val="Level5"/>
      <w:lvlText w:val="(%5)"/>
      <w:lvlJc w:val="left"/>
      <w:pPr>
        <w:tabs>
          <w:tab w:val="num" w:pos="3600"/>
        </w:tabs>
        <w:ind w:left="3600" w:hanging="720"/>
      </w:pPr>
      <w:rPr>
        <w:rFonts w:cs="Times New Roman" w:hint="default"/>
        <w:b w:val="0"/>
        <w:i w:val="0"/>
        <w:u w:val="none"/>
      </w:rPr>
    </w:lvl>
    <w:lvl w:ilvl="5">
      <w:start w:val="1"/>
      <w:numFmt w:val="lowerLetter"/>
      <w:pStyle w:val="Level6"/>
      <w:lvlText w:val="(%6)"/>
      <w:lvlJc w:val="left"/>
      <w:pPr>
        <w:tabs>
          <w:tab w:val="num" w:pos="4320"/>
        </w:tabs>
        <w:ind w:left="4320" w:hanging="720"/>
      </w:pPr>
      <w:rPr>
        <w:rFonts w:cs="Times New Roman" w:hint="default"/>
        <w:b w:val="0"/>
        <w:i w:val="0"/>
        <w:u w:val="none"/>
      </w:rPr>
    </w:lvl>
    <w:lvl w:ilvl="6">
      <w:start w:val="1"/>
      <w:numFmt w:val="lowerRoman"/>
      <w:pStyle w:val="Level7"/>
      <w:lvlText w:val="%7)"/>
      <w:lvlJc w:val="left"/>
      <w:pPr>
        <w:tabs>
          <w:tab w:val="num" w:pos="5040"/>
        </w:tabs>
        <w:ind w:left="5040" w:hanging="720"/>
      </w:pPr>
      <w:rPr>
        <w:rFonts w:cs="Times New Roman" w:hint="default"/>
        <w:b w:val="0"/>
        <w:i w:val="0"/>
        <w:u w:val="none"/>
      </w:rPr>
    </w:lvl>
    <w:lvl w:ilvl="7">
      <w:start w:val="1"/>
      <w:numFmt w:val="lowerLetter"/>
      <w:pStyle w:val="Level8"/>
      <w:lvlText w:val="%8)"/>
      <w:lvlJc w:val="left"/>
      <w:pPr>
        <w:tabs>
          <w:tab w:val="num" w:pos="5760"/>
        </w:tabs>
        <w:ind w:left="5760" w:hanging="720"/>
      </w:pPr>
      <w:rPr>
        <w:rFonts w:cs="Times New Roman" w:hint="default"/>
        <w:b w:val="0"/>
        <w:i w:val="0"/>
        <w:u w:val="none"/>
      </w:rPr>
    </w:lvl>
    <w:lvl w:ilvl="8">
      <w:start w:val="1"/>
      <w:numFmt w:val="decimal"/>
      <w:pStyle w:val="Level9"/>
      <w:lvlText w:val="%9)"/>
      <w:lvlJc w:val="left"/>
      <w:pPr>
        <w:tabs>
          <w:tab w:val="num" w:pos="6480"/>
        </w:tabs>
        <w:ind w:left="6480" w:hanging="720"/>
      </w:pPr>
      <w:rPr>
        <w:rFonts w:cs="Times New Roman" w:hint="default"/>
        <w:b w:val="0"/>
        <w:i w:val="0"/>
        <w:u w:val="none"/>
      </w:rPr>
    </w:lvl>
  </w:abstractNum>
  <w:abstractNum w:abstractNumId="9" w15:restartNumberingAfterBreak="0">
    <w:nsid w:val="3B783109"/>
    <w:multiLevelType w:val="hybridMultilevel"/>
    <w:tmpl w:val="9266E7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BE5D69"/>
    <w:multiLevelType w:val="multilevel"/>
    <w:tmpl w:val="D0F00D66"/>
    <w:lvl w:ilvl="0">
      <w:start w:val="1"/>
      <w:numFmt w:val="upperRoman"/>
      <w:lvlRestart w:val="0"/>
      <w:lvlText w:val="%1."/>
      <w:lvlJc w:val="left"/>
      <w:pPr>
        <w:tabs>
          <w:tab w:val="num" w:pos="720"/>
        </w:tabs>
        <w:ind w:left="720" w:hanging="720"/>
      </w:pPr>
      <w:rPr>
        <w:rFonts w:cs="Times New Roman" w:hint="default"/>
        <w:b w:val="0"/>
        <w:i w:val="0"/>
        <w:caps w:val="0"/>
        <w:u w:val="none"/>
      </w:rPr>
    </w:lvl>
    <w:lvl w:ilvl="1">
      <w:start w:val="1"/>
      <w:numFmt w:val="upperLetter"/>
      <w:lvlText w:val="%2."/>
      <w:lvlJc w:val="left"/>
      <w:pPr>
        <w:tabs>
          <w:tab w:val="num" w:pos="1440"/>
        </w:tabs>
        <w:ind w:left="1440" w:hanging="720"/>
      </w:pPr>
      <w:rPr>
        <w:rFonts w:cs="Times New Roman" w:hint="default"/>
        <w:b w:val="0"/>
        <w:i w:val="0"/>
        <w:u w:val="none"/>
      </w:rPr>
    </w:lvl>
    <w:lvl w:ilvl="2">
      <w:start w:val="1"/>
      <w:numFmt w:val="decimal"/>
      <w:lvlText w:val="%3."/>
      <w:lvlJc w:val="left"/>
      <w:pPr>
        <w:tabs>
          <w:tab w:val="num" w:pos="2340"/>
        </w:tabs>
        <w:ind w:left="2340" w:hanging="720"/>
      </w:pPr>
      <w:rPr>
        <w:rFonts w:cs="Times New Roman" w:hint="default"/>
        <w:b w:val="0"/>
        <w:i w:val="0"/>
        <w:u w:val="none"/>
      </w:rPr>
    </w:lvl>
    <w:lvl w:ilvl="3">
      <w:start w:val="1"/>
      <w:numFmt w:val="lowerLetter"/>
      <w:lvlText w:val="%4."/>
      <w:lvlJc w:val="left"/>
      <w:pPr>
        <w:tabs>
          <w:tab w:val="num" w:pos="2880"/>
        </w:tabs>
        <w:ind w:left="2880" w:hanging="720"/>
      </w:pPr>
      <w:rPr>
        <w:rFonts w:cs="Times New Roman" w:hint="default"/>
        <w:b w:val="0"/>
        <w:i w:val="0"/>
        <w:u w:val="none"/>
      </w:rPr>
    </w:lvl>
    <w:lvl w:ilvl="4">
      <w:start w:val="1"/>
      <w:numFmt w:val="decimal"/>
      <w:lvlText w:val="(%5)"/>
      <w:lvlJc w:val="left"/>
      <w:pPr>
        <w:tabs>
          <w:tab w:val="num" w:pos="3600"/>
        </w:tabs>
        <w:ind w:left="3600" w:hanging="720"/>
      </w:pPr>
      <w:rPr>
        <w:rFonts w:cs="Times New Roman" w:hint="default"/>
        <w:b w:val="0"/>
        <w:i w:val="0"/>
        <w:u w:val="none"/>
      </w:rPr>
    </w:lvl>
    <w:lvl w:ilvl="5">
      <w:start w:val="1"/>
      <w:numFmt w:val="lowerLetter"/>
      <w:lvlText w:val="(%6)"/>
      <w:lvlJc w:val="left"/>
      <w:pPr>
        <w:tabs>
          <w:tab w:val="num" w:pos="4320"/>
        </w:tabs>
        <w:ind w:left="4320" w:hanging="720"/>
      </w:pPr>
      <w:rPr>
        <w:rFonts w:cs="Times New Roman" w:hint="default"/>
        <w:b w:val="0"/>
        <w:i w:val="0"/>
        <w:u w:val="none"/>
      </w:rPr>
    </w:lvl>
    <w:lvl w:ilvl="6">
      <w:start w:val="1"/>
      <w:numFmt w:val="lowerRoman"/>
      <w:lvlText w:val="%7)"/>
      <w:lvlJc w:val="left"/>
      <w:pPr>
        <w:tabs>
          <w:tab w:val="num" w:pos="5040"/>
        </w:tabs>
        <w:ind w:left="5040" w:hanging="720"/>
      </w:pPr>
      <w:rPr>
        <w:rFonts w:cs="Times New Roman" w:hint="default"/>
        <w:b w:val="0"/>
        <w:i w:val="0"/>
        <w:u w:val="none"/>
      </w:rPr>
    </w:lvl>
    <w:lvl w:ilvl="7">
      <w:start w:val="1"/>
      <w:numFmt w:val="lowerLetter"/>
      <w:lvlText w:val="%8)"/>
      <w:lvlJc w:val="left"/>
      <w:pPr>
        <w:tabs>
          <w:tab w:val="num" w:pos="5760"/>
        </w:tabs>
        <w:ind w:left="5760" w:hanging="720"/>
      </w:pPr>
      <w:rPr>
        <w:rFonts w:cs="Times New Roman" w:hint="default"/>
        <w:b w:val="0"/>
        <w:i w:val="0"/>
        <w:u w:val="none"/>
      </w:rPr>
    </w:lvl>
    <w:lvl w:ilvl="8">
      <w:start w:val="1"/>
      <w:numFmt w:val="decimal"/>
      <w:lvlText w:val="%9)"/>
      <w:lvlJc w:val="left"/>
      <w:pPr>
        <w:tabs>
          <w:tab w:val="num" w:pos="6480"/>
        </w:tabs>
        <w:ind w:left="6480" w:hanging="720"/>
      </w:pPr>
      <w:rPr>
        <w:rFonts w:cs="Times New Roman" w:hint="default"/>
        <w:b w:val="0"/>
        <w:i w:val="0"/>
        <w:u w:val="none"/>
      </w:rPr>
    </w:lvl>
  </w:abstractNum>
  <w:abstractNum w:abstractNumId="11" w15:restartNumberingAfterBreak="0">
    <w:nsid w:val="3F527230"/>
    <w:multiLevelType w:val="hybridMultilevel"/>
    <w:tmpl w:val="C49AD4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A973748"/>
    <w:multiLevelType w:val="hybridMultilevel"/>
    <w:tmpl w:val="2148497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E544096"/>
    <w:multiLevelType w:val="hybridMultilevel"/>
    <w:tmpl w:val="18FE44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21F409C"/>
    <w:multiLevelType w:val="hybridMultilevel"/>
    <w:tmpl w:val="B28AEA2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596E1389"/>
    <w:multiLevelType w:val="singleLevel"/>
    <w:tmpl w:val="BD388FFA"/>
    <w:lvl w:ilvl="0">
      <w:start w:val="1"/>
      <w:numFmt w:val="bullet"/>
      <w:pStyle w:val="BodyBullet2"/>
      <w:lvlText w:val=""/>
      <w:lvlJc w:val="left"/>
      <w:pPr>
        <w:tabs>
          <w:tab w:val="num" w:pos="936"/>
        </w:tabs>
        <w:ind w:left="936" w:hanging="216"/>
      </w:pPr>
      <w:rPr>
        <w:rFonts w:ascii="Symbol" w:hAnsi="Symbol" w:hint="default"/>
      </w:rPr>
    </w:lvl>
  </w:abstractNum>
  <w:abstractNum w:abstractNumId="16" w15:restartNumberingAfterBreak="0">
    <w:nsid w:val="68C93B8A"/>
    <w:multiLevelType w:val="hybridMultilevel"/>
    <w:tmpl w:val="BFAA54E6"/>
    <w:lvl w:ilvl="0" w:tplc="FFFFFFFF">
      <w:start w:val="1"/>
      <w:numFmt w:val="bullet"/>
      <w:pStyle w:val="BodyBullet1"/>
      <w:lvlText w:val=""/>
      <w:lvlJc w:val="left"/>
      <w:pPr>
        <w:tabs>
          <w:tab w:val="num" w:pos="810"/>
        </w:tabs>
        <w:ind w:left="810" w:hanging="360"/>
      </w:pPr>
      <w:rPr>
        <w:rFonts w:ascii="Symbol" w:hAnsi="Symbol" w:hint="default"/>
      </w:rPr>
    </w:lvl>
    <w:lvl w:ilvl="1" w:tplc="FFFFFFFF" w:tentative="1">
      <w:start w:val="1"/>
      <w:numFmt w:val="bullet"/>
      <w:lvlText w:val="o"/>
      <w:lvlJc w:val="left"/>
      <w:pPr>
        <w:tabs>
          <w:tab w:val="num" w:pos="1530"/>
        </w:tabs>
        <w:ind w:left="1530" w:hanging="360"/>
      </w:pPr>
      <w:rPr>
        <w:rFonts w:ascii="Courier New" w:hAnsi="Courier New" w:hint="default"/>
      </w:rPr>
    </w:lvl>
    <w:lvl w:ilvl="2" w:tplc="FFFFFFFF" w:tentative="1">
      <w:start w:val="1"/>
      <w:numFmt w:val="bullet"/>
      <w:lvlText w:val=""/>
      <w:lvlJc w:val="left"/>
      <w:pPr>
        <w:tabs>
          <w:tab w:val="num" w:pos="2250"/>
        </w:tabs>
        <w:ind w:left="2250" w:hanging="360"/>
      </w:pPr>
      <w:rPr>
        <w:rFonts w:ascii="Symbol" w:hAnsi="Symbol" w:hint="default"/>
      </w:rPr>
    </w:lvl>
    <w:lvl w:ilvl="3" w:tplc="FFFFFFFF" w:tentative="1">
      <w:start w:val="1"/>
      <w:numFmt w:val="bullet"/>
      <w:lvlText w:val=""/>
      <w:lvlJc w:val="left"/>
      <w:pPr>
        <w:tabs>
          <w:tab w:val="num" w:pos="2970"/>
        </w:tabs>
        <w:ind w:left="2970" w:hanging="360"/>
      </w:pPr>
      <w:rPr>
        <w:rFonts w:ascii="Symbol" w:hAnsi="Symbol" w:hint="default"/>
      </w:rPr>
    </w:lvl>
    <w:lvl w:ilvl="4" w:tplc="FFFFFFFF" w:tentative="1">
      <w:start w:val="1"/>
      <w:numFmt w:val="bullet"/>
      <w:lvlText w:val="o"/>
      <w:lvlJc w:val="left"/>
      <w:pPr>
        <w:tabs>
          <w:tab w:val="num" w:pos="3690"/>
        </w:tabs>
        <w:ind w:left="3690" w:hanging="360"/>
      </w:pPr>
      <w:rPr>
        <w:rFonts w:ascii="Courier New" w:hAnsi="Courier New" w:hint="default"/>
      </w:rPr>
    </w:lvl>
    <w:lvl w:ilvl="5" w:tplc="FFFFFFFF" w:tentative="1">
      <w:start w:val="1"/>
      <w:numFmt w:val="bullet"/>
      <w:lvlText w:val=""/>
      <w:lvlJc w:val="left"/>
      <w:pPr>
        <w:tabs>
          <w:tab w:val="num" w:pos="4410"/>
        </w:tabs>
        <w:ind w:left="4410" w:hanging="360"/>
      </w:pPr>
      <w:rPr>
        <w:rFonts w:ascii="Symbol" w:hAnsi="Symbol" w:hint="default"/>
      </w:rPr>
    </w:lvl>
    <w:lvl w:ilvl="6" w:tplc="FFFFFFFF" w:tentative="1">
      <w:start w:val="1"/>
      <w:numFmt w:val="bullet"/>
      <w:lvlText w:val=""/>
      <w:lvlJc w:val="left"/>
      <w:pPr>
        <w:tabs>
          <w:tab w:val="num" w:pos="5130"/>
        </w:tabs>
        <w:ind w:left="5130" w:hanging="360"/>
      </w:pPr>
      <w:rPr>
        <w:rFonts w:ascii="Symbol" w:hAnsi="Symbol" w:hint="default"/>
      </w:rPr>
    </w:lvl>
    <w:lvl w:ilvl="7" w:tplc="FFFFFFFF" w:tentative="1">
      <w:start w:val="1"/>
      <w:numFmt w:val="bullet"/>
      <w:lvlText w:val="o"/>
      <w:lvlJc w:val="left"/>
      <w:pPr>
        <w:tabs>
          <w:tab w:val="num" w:pos="5850"/>
        </w:tabs>
        <w:ind w:left="5850" w:hanging="360"/>
      </w:pPr>
      <w:rPr>
        <w:rFonts w:ascii="Courier New" w:hAnsi="Courier New" w:hint="default"/>
      </w:rPr>
    </w:lvl>
    <w:lvl w:ilvl="8" w:tplc="FFFFFFFF" w:tentative="1">
      <w:start w:val="1"/>
      <w:numFmt w:val="bullet"/>
      <w:lvlText w:val=""/>
      <w:lvlJc w:val="left"/>
      <w:pPr>
        <w:tabs>
          <w:tab w:val="num" w:pos="6570"/>
        </w:tabs>
        <w:ind w:left="6570" w:hanging="360"/>
      </w:pPr>
      <w:rPr>
        <w:rFonts w:ascii="Symbol" w:hAnsi="Symbol" w:hint="default"/>
      </w:rPr>
    </w:lvl>
  </w:abstractNum>
  <w:num w:numId="1" w16cid:durableId="1706784061">
    <w:abstractNumId w:val="8"/>
  </w:num>
  <w:num w:numId="2" w16cid:durableId="96609455">
    <w:abstractNumId w:val="8"/>
  </w:num>
  <w:num w:numId="3" w16cid:durableId="1225525813">
    <w:abstractNumId w:val="8"/>
  </w:num>
  <w:num w:numId="4" w16cid:durableId="1528253291">
    <w:abstractNumId w:val="8"/>
  </w:num>
  <w:num w:numId="5" w16cid:durableId="1117338591">
    <w:abstractNumId w:val="8"/>
  </w:num>
  <w:num w:numId="6" w16cid:durableId="1242759633">
    <w:abstractNumId w:val="8"/>
  </w:num>
  <w:num w:numId="7" w16cid:durableId="1599291915">
    <w:abstractNumId w:val="8"/>
  </w:num>
  <w:num w:numId="8" w16cid:durableId="433526172">
    <w:abstractNumId w:val="8"/>
  </w:num>
  <w:num w:numId="9" w16cid:durableId="299655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774816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7764026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315511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530622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873205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87062283">
    <w:abstractNumId w:val="10"/>
  </w:num>
  <w:num w:numId="16" w16cid:durableId="1282150094">
    <w:abstractNumId w:val="3"/>
  </w:num>
  <w:num w:numId="17" w16cid:durableId="1164591052">
    <w:abstractNumId w:val="1"/>
  </w:num>
  <w:num w:numId="18" w16cid:durableId="650671501">
    <w:abstractNumId w:val="5"/>
  </w:num>
  <w:num w:numId="19" w16cid:durableId="1443377805">
    <w:abstractNumId w:val="11"/>
  </w:num>
  <w:num w:numId="20" w16cid:durableId="1119958716">
    <w:abstractNumId w:val="2"/>
  </w:num>
  <w:num w:numId="21" w16cid:durableId="452137747">
    <w:abstractNumId w:val="12"/>
  </w:num>
  <w:num w:numId="22" w16cid:durableId="1979071786">
    <w:abstractNumId w:val="14"/>
  </w:num>
  <w:num w:numId="23" w16cid:durableId="930552914">
    <w:abstractNumId w:val="4"/>
  </w:num>
  <w:num w:numId="24" w16cid:durableId="2083327959">
    <w:abstractNumId w:val="6"/>
  </w:num>
  <w:num w:numId="25" w16cid:durableId="1002705600">
    <w:abstractNumId w:val="16"/>
  </w:num>
  <w:num w:numId="26" w16cid:durableId="1147741600">
    <w:abstractNumId w:val="13"/>
  </w:num>
  <w:num w:numId="27" w16cid:durableId="1204756828">
    <w:abstractNumId w:val="16"/>
  </w:num>
  <w:num w:numId="28" w16cid:durableId="1634478568">
    <w:abstractNumId w:val="16"/>
  </w:num>
  <w:num w:numId="29" w16cid:durableId="608271832">
    <w:abstractNumId w:val="16"/>
  </w:num>
  <w:num w:numId="30" w16cid:durableId="903833778">
    <w:abstractNumId w:val="9"/>
  </w:num>
  <w:num w:numId="31" w16cid:durableId="1284536477">
    <w:abstractNumId w:val="7"/>
  </w:num>
  <w:num w:numId="32" w16cid:durableId="1697923915">
    <w:abstractNumId w:val="15"/>
  </w:num>
  <w:num w:numId="33" w16cid:durableId="1599748701">
    <w:abstractNumId w:val="0"/>
  </w:num>
  <w:num w:numId="34" w16cid:durableId="1052583829">
    <w:abstractNumId w:val="16"/>
  </w:num>
  <w:num w:numId="35" w16cid:durableId="948708082">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3"/>
  <w:removePersonalInformation/>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727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BE4"/>
    <w:rsid w:val="000011D1"/>
    <w:rsid w:val="000047DE"/>
    <w:rsid w:val="000142E2"/>
    <w:rsid w:val="00025317"/>
    <w:rsid w:val="00027323"/>
    <w:rsid w:val="000374F6"/>
    <w:rsid w:val="00042D19"/>
    <w:rsid w:val="000435BE"/>
    <w:rsid w:val="0004624E"/>
    <w:rsid w:val="00046FA3"/>
    <w:rsid w:val="0004720F"/>
    <w:rsid w:val="0004745A"/>
    <w:rsid w:val="00055A2F"/>
    <w:rsid w:val="00056710"/>
    <w:rsid w:val="0006166B"/>
    <w:rsid w:val="00063970"/>
    <w:rsid w:val="00063FA2"/>
    <w:rsid w:val="0007339F"/>
    <w:rsid w:val="00075A6F"/>
    <w:rsid w:val="0008543F"/>
    <w:rsid w:val="00086882"/>
    <w:rsid w:val="000912FC"/>
    <w:rsid w:val="00093415"/>
    <w:rsid w:val="00095D1B"/>
    <w:rsid w:val="00097356"/>
    <w:rsid w:val="000A488D"/>
    <w:rsid w:val="000B0D7F"/>
    <w:rsid w:val="000B6C67"/>
    <w:rsid w:val="000B7EC9"/>
    <w:rsid w:val="000C0368"/>
    <w:rsid w:val="000C16D2"/>
    <w:rsid w:val="000C20C1"/>
    <w:rsid w:val="000C23F9"/>
    <w:rsid w:val="000C44EC"/>
    <w:rsid w:val="000C71E2"/>
    <w:rsid w:val="000D0598"/>
    <w:rsid w:val="000D3849"/>
    <w:rsid w:val="000D523D"/>
    <w:rsid w:val="000E1900"/>
    <w:rsid w:val="000E3CA2"/>
    <w:rsid w:val="000E729A"/>
    <w:rsid w:val="000F03B4"/>
    <w:rsid w:val="000F34AA"/>
    <w:rsid w:val="000F6234"/>
    <w:rsid w:val="000F68AC"/>
    <w:rsid w:val="000F693C"/>
    <w:rsid w:val="00100EF2"/>
    <w:rsid w:val="00102BF3"/>
    <w:rsid w:val="001052C0"/>
    <w:rsid w:val="001053BD"/>
    <w:rsid w:val="001066D3"/>
    <w:rsid w:val="001130B5"/>
    <w:rsid w:val="001131E5"/>
    <w:rsid w:val="0011424C"/>
    <w:rsid w:val="001160CF"/>
    <w:rsid w:val="0011731B"/>
    <w:rsid w:val="0012560A"/>
    <w:rsid w:val="0012719A"/>
    <w:rsid w:val="001273C0"/>
    <w:rsid w:val="00136662"/>
    <w:rsid w:val="00140A1D"/>
    <w:rsid w:val="00143033"/>
    <w:rsid w:val="00144B52"/>
    <w:rsid w:val="001513A9"/>
    <w:rsid w:val="001622E9"/>
    <w:rsid w:val="00165703"/>
    <w:rsid w:val="00166246"/>
    <w:rsid w:val="00166819"/>
    <w:rsid w:val="001671E7"/>
    <w:rsid w:val="0016795E"/>
    <w:rsid w:val="00170FCA"/>
    <w:rsid w:val="001809CF"/>
    <w:rsid w:val="00186101"/>
    <w:rsid w:val="00190BCA"/>
    <w:rsid w:val="001946EE"/>
    <w:rsid w:val="001A545E"/>
    <w:rsid w:val="001B3E8A"/>
    <w:rsid w:val="001B47DA"/>
    <w:rsid w:val="001B7205"/>
    <w:rsid w:val="001B7D8C"/>
    <w:rsid w:val="001C0F0A"/>
    <w:rsid w:val="001C3000"/>
    <w:rsid w:val="001C6071"/>
    <w:rsid w:val="001D3318"/>
    <w:rsid w:val="001D3659"/>
    <w:rsid w:val="001D57FC"/>
    <w:rsid w:val="001D5EA3"/>
    <w:rsid w:val="001E35DE"/>
    <w:rsid w:val="001E439B"/>
    <w:rsid w:val="001E4AF5"/>
    <w:rsid w:val="001F21EA"/>
    <w:rsid w:val="001F4449"/>
    <w:rsid w:val="001F65A4"/>
    <w:rsid w:val="0020559F"/>
    <w:rsid w:val="002060A5"/>
    <w:rsid w:val="002110E7"/>
    <w:rsid w:val="00212C55"/>
    <w:rsid w:val="002140D8"/>
    <w:rsid w:val="00214537"/>
    <w:rsid w:val="0021591B"/>
    <w:rsid w:val="00220BA7"/>
    <w:rsid w:val="00221766"/>
    <w:rsid w:val="00222F69"/>
    <w:rsid w:val="0022357D"/>
    <w:rsid w:val="0022476A"/>
    <w:rsid w:val="00226F21"/>
    <w:rsid w:val="002279A8"/>
    <w:rsid w:val="0023017D"/>
    <w:rsid w:val="002320EE"/>
    <w:rsid w:val="0023229F"/>
    <w:rsid w:val="00236707"/>
    <w:rsid w:val="00243FD5"/>
    <w:rsid w:val="00244708"/>
    <w:rsid w:val="00244AAB"/>
    <w:rsid w:val="002511D9"/>
    <w:rsid w:val="0026383E"/>
    <w:rsid w:val="00267DDA"/>
    <w:rsid w:val="002717A0"/>
    <w:rsid w:val="002718B9"/>
    <w:rsid w:val="00271BE4"/>
    <w:rsid w:val="00274DA6"/>
    <w:rsid w:val="002802C2"/>
    <w:rsid w:val="00287408"/>
    <w:rsid w:val="00290270"/>
    <w:rsid w:val="00295F88"/>
    <w:rsid w:val="00296776"/>
    <w:rsid w:val="002B1123"/>
    <w:rsid w:val="002B4457"/>
    <w:rsid w:val="002B7928"/>
    <w:rsid w:val="002C1104"/>
    <w:rsid w:val="002C2191"/>
    <w:rsid w:val="002C66AB"/>
    <w:rsid w:val="002D61CF"/>
    <w:rsid w:val="002D6386"/>
    <w:rsid w:val="002E032A"/>
    <w:rsid w:val="002E0B76"/>
    <w:rsid w:val="002E0D9F"/>
    <w:rsid w:val="002E20EE"/>
    <w:rsid w:val="002F03CA"/>
    <w:rsid w:val="002F0AEC"/>
    <w:rsid w:val="002F307D"/>
    <w:rsid w:val="002F317E"/>
    <w:rsid w:val="002F3F87"/>
    <w:rsid w:val="002F4B52"/>
    <w:rsid w:val="002F5E01"/>
    <w:rsid w:val="002F7171"/>
    <w:rsid w:val="00300A98"/>
    <w:rsid w:val="00300E7C"/>
    <w:rsid w:val="00301608"/>
    <w:rsid w:val="00312A8D"/>
    <w:rsid w:val="0031752F"/>
    <w:rsid w:val="003237A7"/>
    <w:rsid w:val="003266ED"/>
    <w:rsid w:val="0033224B"/>
    <w:rsid w:val="003330DF"/>
    <w:rsid w:val="0033507F"/>
    <w:rsid w:val="003358FF"/>
    <w:rsid w:val="00342B3C"/>
    <w:rsid w:val="00343174"/>
    <w:rsid w:val="00346EB8"/>
    <w:rsid w:val="00351514"/>
    <w:rsid w:val="00353A18"/>
    <w:rsid w:val="00354FCA"/>
    <w:rsid w:val="003613E0"/>
    <w:rsid w:val="00361417"/>
    <w:rsid w:val="00364953"/>
    <w:rsid w:val="00365B54"/>
    <w:rsid w:val="0037482F"/>
    <w:rsid w:val="00375C14"/>
    <w:rsid w:val="003762DA"/>
    <w:rsid w:val="00376E1E"/>
    <w:rsid w:val="00380DCE"/>
    <w:rsid w:val="003859EF"/>
    <w:rsid w:val="0039059B"/>
    <w:rsid w:val="0039199D"/>
    <w:rsid w:val="00393AC3"/>
    <w:rsid w:val="00397DF0"/>
    <w:rsid w:val="003A2D8C"/>
    <w:rsid w:val="003A569A"/>
    <w:rsid w:val="003A7D46"/>
    <w:rsid w:val="003A7E9D"/>
    <w:rsid w:val="003B2BC8"/>
    <w:rsid w:val="003C0D35"/>
    <w:rsid w:val="003C14D8"/>
    <w:rsid w:val="003D0BEE"/>
    <w:rsid w:val="003D2555"/>
    <w:rsid w:val="003D65F6"/>
    <w:rsid w:val="003E3935"/>
    <w:rsid w:val="003E7349"/>
    <w:rsid w:val="0040041B"/>
    <w:rsid w:val="00407362"/>
    <w:rsid w:val="0041178B"/>
    <w:rsid w:val="00412B60"/>
    <w:rsid w:val="00412DA9"/>
    <w:rsid w:val="00412F14"/>
    <w:rsid w:val="00413B5D"/>
    <w:rsid w:val="00415E71"/>
    <w:rsid w:val="004179BA"/>
    <w:rsid w:val="00417C71"/>
    <w:rsid w:val="004207FB"/>
    <w:rsid w:val="00422707"/>
    <w:rsid w:val="0042656B"/>
    <w:rsid w:val="004322D4"/>
    <w:rsid w:val="0043262B"/>
    <w:rsid w:val="00432A5D"/>
    <w:rsid w:val="00437CEE"/>
    <w:rsid w:val="0044062E"/>
    <w:rsid w:val="00442D3F"/>
    <w:rsid w:val="00453657"/>
    <w:rsid w:val="0045512F"/>
    <w:rsid w:val="0045676C"/>
    <w:rsid w:val="00460CF2"/>
    <w:rsid w:val="00462F76"/>
    <w:rsid w:val="0046503C"/>
    <w:rsid w:val="004660DB"/>
    <w:rsid w:val="0047114C"/>
    <w:rsid w:val="004711A8"/>
    <w:rsid w:val="0048451D"/>
    <w:rsid w:val="00484A2D"/>
    <w:rsid w:val="004918DD"/>
    <w:rsid w:val="004921B4"/>
    <w:rsid w:val="00495E99"/>
    <w:rsid w:val="004963FE"/>
    <w:rsid w:val="004A3997"/>
    <w:rsid w:val="004A6276"/>
    <w:rsid w:val="004A7018"/>
    <w:rsid w:val="004B1B8A"/>
    <w:rsid w:val="004B4C81"/>
    <w:rsid w:val="004C02A4"/>
    <w:rsid w:val="004C4A94"/>
    <w:rsid w:val="004C7A6B"/>
    <w:rsid w:val="004D04BD"/>
    <w:rsid w:val="004D3471"/>
    <w:rsid w:val="004D4007"/>
    <w:rsid w:val="004E0717"/>
    <w:rsid w:val="004E3966"/>
    <w:rsid w:val="004E500E"/>
    <w:rsid w:val="004E596B"/>
    <w:rsid w:val="004F2246"/>
    <w:rsid w:val="004F34F0"/>
    <w:rsid w:val="004F414A"/>
    <w:rsid w:val="004F43A3"/>
    <w:rsid w:val="004F5B21"/>
    <w:rsid w:val="004F780D"/>
    <w:rsid w:val="005003A6"/>
    <w:rsid w:val="00502F1D"/>
    <w:rsid w:val="00515412"/>
    <w:rsid w:val="005212DB"/>
    <w:rsid w:val="00526596"/>
    <w:rsid w:val="00527EB9"/>
    <w:rsid w:val="00535374"/>
    <w:rsid w:val="00535ED7"/>
    <w:rsid w:val="00537F6D"/>
    <w:rsid w:val="00540357"/>
    <w:rsid w:val="005418DF"/>
    <w:rsid w:val="00546D11"/>
    <w:rsid w:val="005504E2"/>
    <w:rsid w:val="00550AC7"/>
    <w:rsid w:val="00553A7A"/>
    <w:rsid w:val="00554C3B"/>
    <w:rsid w:val="00557710"/>
    <w:rsid w:val="00571699"/>
    <w:rsid w:val="005727DE"/>
    <w:rsid w:val="005731B5"/>
    <w:rsid w:val="005734FE"/>
    <w:rsid w:val="00576640"/>
    <w:rsid w:val="00587C82"/>
    <w:rsid w:val="0059091D"/>
    <w:rsid w:val="00591B57"/>
    <w:rsid w:val="00592165"/>
    <w:rsid w:val="005946D8"/>
    <w:rsid w:val="005A1A61"/>
    <w:rsid w:val="005A50FA"/>
    <w:rsid w:val="005A7862"/>
    <w:rsid w:val="005B0017"/>
    <w:rsid w:val="005B6438"/>
    <w:rsid w:val="005C36C5"/>
    <w:rsid w:val="005C6A4B"/>
    <w:rsid w:val="005D1BBC"/>
    <w:rsid w:val="005D1C6F"/>
    <w:rsid w:val="005D5B15"/>
    <w:rsid w:val="00603D0B"/>
    <w:rsid w:val="0061349C"/>
    <w:rsid w:val="0061451D"/>
    <w:rsid w:val="00615787"/>
    <w:rsid w:val="00616941"/>
    <w:rsid w:val="00616A4E"/>
    <w:rsid w:val="006312D4"/>
    <w:rsid w:val="00632C56"/>
    <w:rsid w:val="00635918"/>
    <w:rsid w:val="00635DC5"/>
    <w:rsid w:val="0063608B"/>
    <w:rsid w:val="00650338"/>
    <w:rsid w:val="006521D5"/>
    <w:rsid w:val="0065558E"/>
    <w:rsid w:val="00656601"/>
    <w:rsid w:val="006579BD"/>
    <w:rsid w:val="00663051"/>
    <w:rsid w:val="00665100"/>
    <w:rsid w:val="0066558B"/>
    <w:rsid w:val="00665F79"/>
    <w:rsid w:val="00670BED"/>
    <w:rsid w:val="00672A4D"/>
    <w:rsid w:val="0067497A"/>
    <w:rsid w:val="00683607"/>
    <w:rsid w:val="00691886"/>
    <w:rsid w:val="006929E2"/>
    <w:rsid w:val="006A5527"/>
    <w:rsid w:val="006B0C80"/>
    <w:rsid w:val="006B317F"/>
    <w:rsid w:val="006B5542"/>
    <w:rsid w:val="006C5CE6"/>
    <w:rsid w:val="006C79F6"/>
    <w:rsid w:val="006D2014"/>
    <w:rsid w:val="006E02F6"/>
    <w:rsid w:val="006E0450"/>
    <w:rsid w:val="006E1522"/>
    <w:rsid w:val="006E3650"/>
    <w:rsid w:val="006E42EB"/>
    <w:rsid w:val="006E621D"/>
    <w:rsid w:val="006F0177"/>
    <w:rsid w:val="006F5083"/>
    <w:rsid w:val="006F51E6"/>
    <w:rsid w:val="00701DE0"/>
    <w:rsid w:val="00702351"/>
    <w:rsid w:val="00703116"/>
    <w:rsid w:val="00706BBA"/>
    <w:rsid w:val="00707A99"/>
    <w:rsid w:val="00711FD1"/>
    <w:rsid w:val="00714504"/>
    <w:rsid w:val="00715562"/>
    <w:rsid w:val="007170FE"/>
    <w:rsid w:val="0072332E"/>
    <w:rsid w:val="0072483C"/>
    <w:rsid w:val="007260CA"/>
    <w:rsid w:val="007271A7"/>
    <w:rsid w:val="00730FCC"/>
    <w:rsid w:val="00731159"/>
    <w:rsid w:val="00731CE2"/>
    <w:rsid w:val="007329A3"/>
    <w:rsid w:val="00734E27"/>
    <w:rsid w:val="00736A34"/>
    <w:rsid w:val="00737B96"/>
    <w:rsid w:val="0074051E"/>
    <w:rsid w:val="00744295"/>
    <w:rsid w:val="007456F0"/>
    <w:rsid w:val="007561BF"/>
    <w:rsid w:val="00757AEE"/>
    <w:rsid w:val="00760AFE"/>
    <w:rsid w:val="0076280C"/>
    <w:rsid w:val="00762937"/>
    <w:rsid w:val="00766ACD"/>
    <w:rsid w:val="00767E56"/>
    <w:rsid w:val="00770712"/>
    <w:rsid w:val="00770805"/>
    <w:rsid w:val="00771A97"/>
    <w:rsid w:val="0078051C"/>
    <w:rsid w:val="00780E82"/>
    <w:rsid w:val="007846D9"/>
    <w:rsid w:val="007A0E22"/>
    <w:rsid w:val="007A34E8"/>
    <w:rsid w:val="007A4844"/>
    <w:rsid w:val="007B2876"/>
    <w:rsid w:val="007B6673"/>
    <w:rsid w:val="007C49B8"/>
    <w:rsid w:val="007C61B7"/>
    <w:rsid w:val="007D7EA7"/>
    <w:rsid w:val="007E2D51"/>
    <w:rsid w:val="007E394B"/>
    <w:rsid w:val="007F7114"/>
    <w:rsid w:val="00804679"/>
    <w:rsid w:val="00805608"/>
    <w:rsid w:val="00806EBA"/>
    <w:rsid w:val="00810C1E"/>
    <w:rsid w:val="008110DD"/>
    <w:rsid w:val="0081456A"/>
    <w:rsid w:val="00816412"/>
    <w:rsid w:val="0083315B"/>
    <w:rsid w:val="00835D3E"/>
    <w:rsid w:val="0084204E"/>
    <w:rsid w:val="00842625"/>
    <w:rsid w:val="00842E5C"/>
    <w:rsid w:val="00850D66"/>
    <w:rsid w:val="00850D6E"/>
    <w:rsid w:val="00850EA2"/>
    <w:rsid w:val="00854DFD"/>
    <w:rsid w:val="00860C5E"/>
    <w:rsid w:val="0086151E"/>
    <w:rsid w:val="00865930"/>
    <w:rsid w:val="00871E6C"/>
    <w:rsid w:val="008756D9"/>
    <w:rsid w:val="00876A30"/>
    <w:rsid w:val="00880739"/>
    <w:rsid w:val="00881D92"/>
    <w:rsid w:val="00883016"/>
    <w:rsid w:val="0089141F"/>
    <w:rsid w:val="008A2B69"/>
    <w:rsid w:val="008B26F5"/>
    <w:rsid w:val="008B2D3A"/>
    <w:rsid w:val="008C4CF3"/>
    <w:rsid w:val="008D21E3"/>
    <w:rsid w:val="008E1A14"/>
    <w:rsid w:val="008E1A1E"/>
    <w:rsid w:val="008E1F06"/>
    <w:rsid w:val="008F3174"/>
    <w:rsid w:val="008F3FB2"/>
    <w:rsid w:val="008F5594"/>
    <w:rsid w:val="009014C9"/>
    <w:rsid w:val="009028D3"/>
    <w:rsid w:val="009049DC"/>
    <w:rsid w:val="00906F6B"/>
    <w:rsid w:val="00907334"/>
    <w:rsid w:val="009139AC"/>
    <w:rsid w:val="00917B76"/>
    <w:rsid w:val="0092099E"/>
    <w:rsid w:val="0092275F"/>
    <w:rsid w:val="0092394E"/>
    <w:rsid w:val="00926E4F"/>
    <w:rsid w:val="00932EE2"/>
    <w:rsid w:val="00933C51"/>
    <w:rsid w:val="00936B0B"/>
    <w:rsid w:val="00940549"/>
    <w:rsid w:val="00941E63"/>
    <w:rsid w:val="00946482"/>
    <w:rsid w:val="009464A1"/>
    <w:rsid w:val="009534A7"/>
    <w:rsid w:val="0096161C"/>
    <w:rsid w:val="00962D1B"/>
    <w:rsid w:val="009635FA"/>
    <w:rsid w:val="00964A88"/>
    <w:rsid w:val="009658DF"/>
    <w:rsid w:val="00967AF7"/>
    <w:rsid w:val="00973E7E"/>
    <w:rsid w:val="009751DD"/>
    <w:rsid w:val="009768D2"/>
    <w:rsid w:val="0098135C"/>
    <w:rsid w:val="009844C0"/>
    <w:rsid w:val="00986BC5"/>
    <w:rsid w:val="0098783E"/>
    <w:rsid w:val="0099236D"/>
    <w:rsid w:val="009B22A0"/>
    <w:rsid w:val="009B2E93"/>
    <w:rsid w:val="009B322E"/>
    <w:rsid w:val="009B3C83"/>
    <w:rsid w:val="009B50F7"/>
    <w:rsid w:val="009B5F49"/>
    <w:rsid w:val="009C2354"/>
    <w:rsid w:val="009C527C"/>
    <w:rsid w:val="009C7927"/>
    <w:rsid w:val="009D02FF"/>
    <w:rsid w:val="009E0D3D"/>
    <w:rsid w:val="009E4C30"/>
    <w:rsid w:val="009E6322"/>
    <w:rsid w:val="009E73A8"/>
    <w:rsid w:val="009E7857"/>
    <w:rsid w:val="009E7924"/>
    <w:rsid w:val="009E7B6F"/>
    <w:rsid w:val="00A00618"/>
    <w:rsid w:val="00A01C9B"/>
    <w:rsid w:val="00A04479"/>
    <w:rsid w:val="00A05580"/>
    <w:rsid w:val="00A06E0D"/>
    <w:rsid w:val="00A16E7B"/>
    <w:rsid w:val="00A21735"/>
    <w:rsid w:val="00A31677"/>
    <w:rsid w:val="00A32B38"/>
    <w:rsid w:val="00A32CE9"/>
    <w:rsid w:val="00A33D66"/>
    <w:rsid w:val="00A34BA1"/>
    <w:rsid w:val="00A36EC0"/>
    <w:rsid w:val="00A37C8F"/>
    <w:rsid w:val="00A40CAB"/>
    <w:rsid w:val="00A41CDB"/>
    <w:rsid w:val="00A47F3F"/>
    <w:rsid w:val="00A51F7D"/>
    <w:rsid w:val="00A525B2"/>
    <w:rsid w:val="00A53D20"/>
    <w:rsid w:val="00A623A8"/>
    <w:rsid w:val="00A64C9D"/>
    <w:rsid w:val="00A71D2C"/>
    <w:rsid w:val="00A8047E"/>
    <w:rsid w:val="00A82C7E"/>
    <w:rsid w:val="00A86536"/>
    <w:rsid w:val="00A873FC"/>
    <w:rsid w:val="00A926A3"/>
    <w:rsid w:val="00A9523B"/>
    <w:rsid w:val="00A966E4"/>
    <w:rsid w:val="00AA2EFB"/>
    <w:rsid w:val="00AA5B3C"/>
    <w:rsid w:val="00AB1F8F"/>
    <w:rsid w:val="00AB2B9D"/>
    <w:rsid w:val="00AB2C82"/>
    <w:rsid w:val="00AB3F96"/>
    <w:rsid w:val="00AB56FD"/>
    <w:rsid w:val="00AB6900"/>
    <w:rsid w:val="00AB6C8C"/>
    <w:rsid w:val="00AC522E"/>
    <w:rsid w:val="00AC61A8"/>
    <w:rsid w:val="00AC73E8"/>
    <w:rsid w:val="00AD09E5"/>
    <w:rsid w:val="00AD2403"/>
    <w:rsid w:val="00AD6E06"/>
    <w:rsid w:val="00AE09D2"/>
    <w:rsid w:val="00AE4D26"/>
    <w:rsid w:val="00AE52AD"/>
    <w:rsid w:val="00AE5B84"/>
    <w:rsid w:val="00AE6AE1"/>
    <w:rsid w:val="00AF125A"/>
    <w:rsid w:val="00AF2647"/>
    <w:rsid w:val="00AF5A83"/>
    <w:rsid w:val="00B00EBF"/>
    <w:rsid w:val="00B01C35"/>
    <w:rsid w:val="00B05CBB"/>
    <w:rsid w:val="00B06907"/>
    <w:rsid w:val="00B06A8E"/>
    <w:rsid w:val="00B06E68"/>
    <w:rsid w:val="00B11BE7"/>
    <w:rsid w:val="00B14399"/>
    <w:rsid w:val="00B170D1"/>
    <w:rsid w:val="00B1799F"/>
    <w:rsid w:val="00B17B16"/>
    <w:rsid w:val="00B21651"/>
    <w:rsid w:val="00B217A5"/>
    <w:rsid w:val="00B22D0B"/>
    <w:rsid w:val="00B312EF"/>
    <w:rsid w:val="00B316D5"/>
    <w:rsid w:val="00B327D5"/>
    <w:rsid w:val="00B334EE"/>
    <w:rsid w:val="00B3524D"/>
    <w:rsid w:val="00B35670"/>
    <w:rsid w:val="00B36E5C"/>
    <w:rsid w:val="00B4008C"/>
    <w:rsid w:val="00B40600"/>
    <w:rsid w:val="00B426F7"/>
    <w:rsid w:val="00B42B4B"/>
    <w:rsid w:val="00B501A3"/>
    <w:rsid w:val="00B50393"/>
    <w:rsid w:val="00B52681"/>
    <w:rsid w:val="00B52ADD"/>
    <w:rsid w:val="00B61049"/>
    <w:rsid w:val="00B6462F"/>
    <w:rsid w:val="00B66CB6"/>
    <w:rsid w:val="00B702B8"/>
    <w:rsid w:val="00B70E76"/>
    <w:rsid w:val="00B716E9"/>
    <w:rsid w:val="00B7255E"/>
    <w:rsid w:val="00B726B8"/>
    <w:rsid w:val="00B80BD2"/>
    <w:rsid w:val="00B83FB5"/>
    <w:rsid w:val="00B84505"/>
    <w:rsid w:val="00B90376"/>
    <w:rsid w:val="00B93747"/>
    <w:rsid w:val="00B96E2C"/>
    <w:rsid w:val="00BA03F1"/>
    <w:rsid w:val="00BA547F"/>
    <w:rsid w:val="00BA74BF"/>
    <w:rsid w:val="00BA7BBB"/>
    <w:rsid w:val="00BB3E9A"/>
    <w:rsid w:val="00BC51DB"/>
    <w:rsid w:val="00BD4700"/>
    <w:rsid w:val="00BD666D"/>
    <w:rsid w:val="00BE7AD4"/>
    <w:rsid w:val="00BF1ECC"/>
    <w:rsid w:val="00BF67BB"/>
    <w:rsid w:val="00C073EE"/>
    <w:rsid w:val="00C13F2D"/>
    <w:rsid w:val="00C16977"/>
    <w:rsid w:val="00C17559"/>
    <w:rsid w:val="00C23D50"/>
    <w:rsid w:val="00C2413B"/>
    <w:rsid w:val="00C333CB"/>
    <w:rsid w:val="00C34805"/>
    <w:rsid w:val="00C37500"/>
    <w:rsid w:val="00C40C2D"/>
    <w:rsid w:val="00C54B9A"/>
    <w:rsid w:val="00C550F5"/>
    <w:rsid w:val="00C5590C"/>
    <w:rsid w:val="00C56D13"/>
    <w:rsid w:val="00C57827"/>
    <w:rsid w:val="00C57A5E"/>
    <w:rsid w:val="00C60270"/>
    <w:rsid w:val="00C62CE6"/>
    <w:rsid w:val="00C62EFA"/>
    <w:rsid w:val="00C631C2"/>
    <w:rsid w:val="00C656BB"/>
    <w:rsid w:val="00C74063"/>
    <w:rsid w:val="00C849B7"/>
    <w:rsid w:val="00C87C98"/>
    <w:rsid w:val="00C90CD6"/>
    <w:rsid w:val="00C97E8A"/>
    <w:rsid w:val="00C97FF5"/>
    <w:rsid w:val="00CA2921"/>
    <w:rsid w:val="00CA359B"/>
    <w:rsid w:val="00CA6BC9"/>
    <w:rsid w:val="00CB330F"/>
    <w:rsid w:val="00CC1A91"/>
    <w:rsid w:val="00CC67A0"/>
    <w:rsid w:val="00CC6C79"/>
    <w:rsid w:val="00CD15A0"/>
    <w:rsid w:val="00CD2017"/>
    <w:rsid w:val="00CD3BED"/>
    <w:rsid w:val="00CE5811"/>
    <w:rsid w:val="00CE662B"/>
    <w:rsid w:val="00CF1C8B"/>
    <w:rsid w:val="00CF6E3A"/>
    <w:rsid w:val="00D00744"/>
    <w:rsid w:val="00D0628C"/>
    <w:rsid w:val="00D0774F"/>
    <w:rsid w:val="00D12FB3"/>
    <w:rsid w:val="00D13F77"/>
    <w:rsid w:val="00D24FEC"/>
    <w:rsid w:val="00D27EC5"/>
    <w:rsid w:val="00D31422"/>
    <w:rsid w:val="00D33420"/>
    <w:rsid w:val="00D35048"/>
    <w:rsid w:val="00D36A11"/>
    <w:rsid w:val="00D40207"/>
    <w:rsid w:val="00D42E38"/>
    <w:rsid w:val="00D46C9F"/>
    <w:rsid w:val="00D46F7E"/>
    <w:rsid w:val="00D4764B"/>
    <w:rsid w:val="00D47FDA"/>
    <w:rsid w:val="00D505A4"/>
    <w:rsid w:val="00D52A06"/>
    <w:rsid w:val="00D63B43"/>
    <w:rsid w:val="00D722E1"/>
    <w:rsid w:val="00D73DE6"/>
    <w:rsid w:val="00D75E9F"/>
    <w:rsid w:val="00D7648D"/>
    <w:rsid w:val="00D76836"/>
    <w:rsid w:val="00D77DF4"/>
    <w:rsid w:val="00D82417"/>
    <w:rsid w:val="00D83FC2"/>
    <w:rsid w:val="00D941F0"/>
    <w:rsid w:val="00D966C4"/>
    <w:rsid w:val="00DA1B52"/>
    <w:rsid w:val="00DA4679"/>
    <w:rsid w:val="00DA53AB"/>
    <w:rsid w:val="00DA63CF"/>
    <w:rsid w:val="00DB3295"/>
    <w:rsid w:val="00DB3F84"/>
    <w:rsid w:val="00DB52FB"/>
    <w:rsid w:val="00DC69D9"/>
    <w:rsid w:val="00DD59CC"/>
    <w:rsid w:val="00DD6051"/>
    <w:rsid w:val="00DD6516"/>
    <w:rsid w:val="00DD76F7"/>
    <w:rsid w:val="00DE298D"/>
    <w:rsid w:val="00DE4144"/>
    <w:rsid w:val="00DE5B3F"/>
    <w:rsid w:val="00DF51F0"/>
    <w:rsid w:val="00E02EDD"/>
    <w:rsid w:val="00E02F95"/>
    <w:rsid w:val="00E041EA"/>
    <w:rsid w:val="00E07634"/>
    <w:rsid w:val="00E07B7B"/>
    <w:rsid w:val="00E12121"/>
    <w:rsid w:val="00E12422"/>
    <w:rsid w:val="00E13536"/>
    <w:rsid w:val="00E209E7"/>
    <w:rsid w:val="00E254F2"/>
    <w:rsid w:val="00E321F5"/>
    <w:rsid w:val="00E32F84"/>
    <w:rsid w:val="00E357B9"/>
    <w:rsid w:val="00E35AC9"/>
    <w:rsid w:val="00E43FAA"/>
    <w:rsid w:val="00E43FC4"/>
    <w:rsid w:val="00E4558C"/>
    <w:rsid w:val="00E46839"/>
    <w:rsid w:val="00E47B98"/>
    <w:rsid w:val="00E522CE"/>
    <w:rsid w:val="00E5551D"/>
    <w:rsid w:val="00E6348F"/>
    <w:rsid w:val="00E73EAD"/>
    <w:rsid w:val="00E74403"/>
    <w:rsid w:val="00E80AEF"/>
    <w:rsid w:val="00E827C2"/>
    <w:rsid w:val="00E83C96"/>
    <w:rsid w:val="00E8729B"/>
    <w:rsid w:val="00E92439"/>
    <w:rsid w:val="00E96464"/>
    <w:rsid w:val="00E97BB9"/>
    <w:rsid w:val="00EA3851"/>
    <w:rsid w:val="00EA3B7A"/>
    <w:rsid w:val="00EA7932"/>
    <w:rsid w:val="00EB0765"/>
    <w:rsid w:val="00EB0EF1"/>
    <w:rsid w:val="00EC26E8"/>
    <w:rsid w:val="00ED111A"/>
    <w:rsid w:val="00ED1487"/>
    <w:rsid w:val="00ED3037"/>
    <w:rsid w:val="00ED330C"/>
    <w:rsid w:val="00ED4FF1"/>
    <w:rsid w:val="00ED5E38"/>
    <w:rsid w:val="00EF6B0D"/>
    <w:rsid w:val="00F03FA6"/>
    <w:rsid w:val="00F043C1"/>
    <w:rsid w:val="00F06D5E"/>
    <w:rsid w:val="00F11D2E"/>
    <w:rsid w:val="00F13EFF"/>
    <w:rsid w:val="00F21D5C"/>
    <w:rsid w:val="00F277E5"/>
    <w:rsid w:val="00F3293D"/>
    <w:rsid w:val="00F32C3B"/>
    <w:rsid w:val="00F340B1"/>
    <w:rsid w:val="00F35E68"/>
    <w:rsid w:val="00F4245D"/>
    <w:rsid w:val="00F44A69"/>
    <w:rsid w:val="00F5110E"/>
    <w:rsid w:val="00F524C5"/>
    <w:rsid w:val="00F52B2C"/>
    <w:rsid w:val="00F52DEE"/>
    <w:rsid w:val="00F53849"/>
    <w:rsid w:val="00F54629"/>
    <w:rsid w:val="00F60027"/>
    <w:rsid w:val="00F638AD"/>
    <w:rsid w:val="00F706AD"/>
    <w:rsid w:val="00F74902"/>
    <w:rsid w:val="00F74F93"/>
    <w:rsid w:val="00F81957"/>
    <w:rsid w:val="00F847DE"/>
    <w:rsid w:val="00F85D1D"/>
    <w:rsid w:val="00F85FEE"/>
    <w:rsid w:val="00F861A7"/>
    <w:rsid w:val="00F87289"/>
    <w:rsid w:val="00F9355F"/>
    <w:rsid w:val="00F9453D"/>
    <w:rsid w:val="00F94CC2"/>
    <w:rsid w:val="00F96831"/>
    <w:rsid w:val="00FA22C6"/>
    <w:rsid w:val="00FA311D"/>
    <w:rsid w:val="00FA3309"/>
    <w:rsid w:val="00FA67D8"/>
    <w:rsid w:val="00FB3046"/>
    <w:rsid w:val="00FB4945"/>
    <w:rsid w:val="00FB678F"/>
    <w:rsid w:val="00FB779D"/>
    <w:rsid w:val="00FC0AA0"/>
    <w:rsid w:val="00FC10DF"/>
    <w:rsid w:val="00FC5BD8"/>
    <w:rsid w:val="00FC6BA7"/>
    <w:rsid w:val="00FD1A07"/>
    <w:rsid w:val="00FD55C9"/>
    <w:rsid w:val="00FE4557"/>
    <w:rsid w:val="00FE62C0"/>
    <w:rsid w:val="00FE6F4E"/>
    <w:rsid w:val="00FE7549"/>
    <w:rsid w:val="00FF28C3"/>
    <w:rsid w:val="00FF589A"/>
    <w:rsid w:val="00FF7057"/>
    <w:rsid w:val="00FF7F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2705"/>
    <o:shapelayout v:ext="edit">
      <o:idmap v:ext="edit" data="1"/>
    </o:shapelayout>
  </w:shapeDefaults>
  <w:decimalSymbol w:val="."/>
  <w:listSeparator w:val=","/>
  <w14:docId w14:val="13D29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link w:val="Heading2Char"/>
    <w:semiHidden/>
    <w:unhideWhenUsed/>
    <w:qFormat/>
    <w:rsid w:val="0022476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qFormat/>
    <w:rsid w:val="003613E0"/>
    <w:pPr>
      <w:keepNext/>
      <w:outlineLvl w:val="2"/>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A713EC"/>
    <w:rPr>
      <w:rFonts w:asciiTheme="majorHAnsi" w:eastAsiaTheme="majorEastAsia" w:hAnsiTheme="majorHAnsi" w:cstheme="majorBidi"/>
      <w:b/>
      <w:bCs/>
      <w:sz w:val="26"/>
      <w:szCs w:val="2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sid w:val="00A713EC"/>
    <w:rPr>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sid w:val="00A713EC"/>
    <w:rPr>
      <w:sz w:val="24"/>
      <w:szCs w:val="24"/>
    </w:rPr>
  </w:style>
  <w:style w:type="paragraph" w:customStyle="1" w:styleId="MessageHeaderFirst">
    <w:name w:val="Message Header First"/>
    <w:basedOn w:val="MessageHeader"/>
    <w:next w:val="MessageHeader"/>
    <w:pPr>
      <w:keepLines/>
      <w:pBdr>
        <w:top w:val="none" w:sz="0" w:space="0" w:color="auto"/>
        <w:left w:val="none" w:sz="0" w:space="0" w:color="auto"/>
        <w:bottom w:val="none" w:sz="0" w:space="0" w:color="auto"/>
        <w:right w:val="none" w:sz="0" w:space="0" w:color="auto"/>
      </w:pBdr>
      <w:shd w:val="clear" w:color="auto" w:fill="auto"/>
      <w:tabs>
        <w:tab w:val="left" w:pos="720"/>
        <w:tab w:val="left" w:pos="4320"/>
        <w:tab w:val="left" w:pos="5040"/>
        <w:tab w:val="right" w:pos="8640"/>
      </w:tabs>
      <w:spacing w:after="40" w:line="440" w:lineRule="atLeast"/>
      <w:ind w:left="720" w:hanging="720"/>
    </w:pPr>
    <w:rPr>
      <w:rFonts w:cs="Times New Roman"/>
      <w:spacing w:val="-5"/>
      <w:sz w:val="20"/>
      <w:szCs w:val="20"/>
    </w:rPr>
  </w:style>
  <w:style w:type="character" w:customStyle="1" w:styleId="MessageHeaderLabel">
    <w:name w:val="Message Header Label"/>
    <w:rPr>
      <w:rFonts w:ascii="Arial Black" w:hAnsi="Arial Black"/>
      <w:sz w:val="18"/>
    </w:rPr>
  </w:style>
  <w:style w:type="paragraph" w:styleId="MessageHeader">
    <w:name w:val="Message Header"/>
    <w:basedOn w:val="Normal"/>
    <w:link w:val="MessageHeaderChar"/>
    <w:uiPriority w:val="99"/>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uiPriority w:val="99"/>
    <w:semiHidden/>
    <w:rsid w:val="00A713EC"/>
    <w:rPr>
      <w:rFonts w:asciiTheme="majorHAnsi" w:eastAsiaTheme="majorEastAsia" w:hAnsiTheme="majorHAnsi" w:cstheme="majorBidi"/>
      <w:sz w:val="24"/>
      <w:szCs w:val="24"/>
      <w:shd w:val="pct20" w:color="auto" w:fill="auto"/>
    </w:rPr>
  </w:style>
  <w:style w:type="character" w:styleId="Hyperlink">
    <w:name w:val="Hyperlink"/>
    <w:basedOn w:val="DefaultParagraphFont"/>
    <w:uiPriority w:val="99"/>
    <w:rsid w:val="004F34F0"/>
    <w:rPr>
      <w:rFonts w:cs="Times New Roman"/>
      <w:color w:val="0000FF"/>
      <w:u w:val="single"/>
    </w:rPr>
  </w:style>
  <w:style w:type="paragraph" w:styleId="FootnoteText">
    <w:name w:val="footnote text"/>
    <w:basedOn w:val="Normal"/>
    <w:link w:val="FootnoteTextChar"/>
    <w:uiPriority w:val="99"/>
    <w:semiHidden/>
    <w:rsid w:val="009B5F49"/>
    <w:rPr>
      <w:sz w:val="20"/>
      <w:szCs w:val="20"/>
    </w:rPr>
  </w:style>
  <w:style w:type="character" w:customStyle="1" w:styleId="FootnoteTextChar">
    <w:name w:val="Footnote Text Char"/>
    <w:basedOn w:val="DefaultParagraphFont"/>
    <w:link w:val="FootnoteText"/>
    <w:uiPriority w:val="99"/>
    <w:semiHidden/>
    <w:rsid w:val="00A713EC"/>
  </w:style>
  <w:style w:type="character" w:styleId="FootnoteReference">
    <w:name w:val="footnote reference"/>
    <w:basedOn w:val="DefaultParagraphFont"/>
    <w:uiPriority w:val="99"/>
    <w:semiHidden/>
    <w:rsid w:val="009B5F49"/>
    <w:rPr>
      <w:rFonts w:cs="Times New Roman"/>
      <w:vertAlign w:val="superscript"/>
    </w:rPr>
  </w:style>
  <w:style w:type="character" w:styleId="PageNumber">
    <w:name w:val="page number"/>
    <w:basedOn w:val="DefaultParagraphFont"/>
    <w:uiPriority w:val="99"/>
    <w:rsid w:val="002E0B76"/>
    <w:rPr>
      <w:rFonts w:cs="Times New Roman"/>
    </w:rPr>
  </w:style>
  <w:style w:type="paragraph" w:customStyle="1" w:styleId="HdgCenterBold">
    <w:name w:val="_Hdg Center Bold"/>
    <w:basedOn w:val="Normal"/>
    <w:rsid w:val="00E46839"/>
    <w:pPr>
      <w:keepNext/>
      <w:keepLines/>
      <w:suppressAutoHyphens/>
      <w:spacing w:after="120"/>
      <w:jc w:val="center"/>
    </w:pPr>
    <w:rPr>
      <w:b/>
      <w:szCs w:val="20"/>
    </w:rPr>
  </w:style>
  <w:style w:type="paragraph" w:customStyle="1" w:styleId="Level1">
    <w:name w:val="Level 1"/>
    <w:basedOn w:val="Normal"/>
    <w:rsid w:val="00550AC7"/>
    <w:pPr>
      <w:numPr>
        <w:numId w:val="1"/>
      </w:numPr>
      <w:suppressAutoHyphens/>
      <w:spacing w:after="240"/>
      <w:outlineLvl w:val="0"/>
    </w:pPr>
    <w:rPr>
      <w:szCs w:val="20"/>
    </w:rPr>
  </w:style>
  <w:style w:type="paragraph" w:customStyle="1" w:styleId="Level2">
    <w:name w:val="Level 2"/>
    <w:basedOn w:val="Normal"/>
    <w:rsid w:val="00550AC7"/>
    <w:pPr>
      <w:numPr>
        <w:ilvl w:val="1"/>
        <w:numId w:val="1"/>
      </w:numPr>
      <w:suppressAutoHyphens/>
      <w:spacing w:after="240"/>
      <w:outlineLvl w:val="1"/>
    </w:pPr>
    <w:rPr>
      <w:szCs w:val="20"/>
    </w:rPr>
  </w:style>
  <w:style w:type="paragraph" w:customStyle="1" w:styleId="Level3">
    <w:name w:val="Level 3"/>
    <w:basedOn w:val="Normal"/>
    <w:rsid w:val="00550AC7"/>
    <w:pPr>
      <w:numPr>
        <w:ilvl w:val="2"/>
        <w:numId w:val="1"/>
      </w:numPr>
      <w:suppressAutoHyphens/>
      <w:spacing w:after="240"/>
      <w:outlineLvl w:val="2"/>
    </w:pPr>
    <w:rPr>
      <w:szCs w:val="20"/>
    </w:rPr>
  </w:style>
  <w:style w:type="paragraph" w:customStyle="1" w:styleId="Level4">
    <w:name w:val="Level 4"/>
    <w:basedOn w:val="Normal"/>
    <w:link w:val="Level4Char"/>
    <w:rsid w:val="00550AC7"/>
    <w:pPr>
      <w:numPr>
        <w:ilvl w:val="3"/>
        <w:numId w:val="1"/>
      </w:numPr>
      <w:suppressAutoHyphens/>
      <w:spacing w:after="240"/>
      <w:outlineLvl w:val="3"/>
    </w:pPr>
    <w:rPr>
      <w:szCs w:val="20"/>
    </w:rPr>
  </w:style>
  <w:style w:type="paragraph" w:customStyle="1" w:styleId="Level5">
    <w:name w:val="Level 5"/>
    <w:basedOn w:val="Normal"/>
    <w:rsid w:val="00550AC7"/>
    <w:pPr>
      <w:numPr>
        <w:ilvl w:val="4"/>
        <w:numId w:val="1"/>
      </w:numPr>
      <w:suppressAutoHyphens/>
      <w:spacing w:after="240"/>
      <w:outlineLvl w:val="4"/>
    </w:pPr>
    <w:rPr>
      <w:szCs w:val="20"/>
    </w:rPr>
  </w:style>
  <w:style w:type="paragraph" w:customStyle="1" w:styleId="Level6">
    <w:name w:val="Level 6"/>
    <w:basedOn w:val="Normal"/>
    <w:rsid w:val="00550AC7"/>
    <w:pPr>
      <w:numPr>
        <w:ilvl w:val="5"/>
        <w:numId w:val="1"/>
      </w:numPr>
      <w:suppressAutoHyphens/>
      <w:spacing w:after="240"/>
      <w:outlineLvl w:val="5"/>
    </w:pPr>
    <w:rPr>
      <w:szCs w:val="20"/>
    </w:rPr>
  </w:style>
  <w:style w:type="paragraph" w:customStyle="1" w:styleId="Level7">
    <w:name w:val="Level 7"/>
    <w:basedOn w:val="Normal"/>
    <w:rsid w:val="00550AC7"/>
    <w:pPr>
      <w:numPr>
        <w:ilvl w:val="6"/>
        <w:numId w:val="1"/>
      </w:numPr>
      <w:suppressAutoHyphens/>
      <w:spacing w:after="240"/>
      <w:outlineLvl w:val="6"/>
    </w:pPr>
    <w:rPr>
      <w:szCs w:val="20"/>
    </w:rPr>
  </w:style>
  <w:style w:type="paragraph" w:customStyle="1" w:styleId="Level8">
    <w:name w:val="Level 8"/>
    <w:basedOn w:val="Normal"/>
    <w:rsid w:val="00550AC7"/>
    <w:pPr>
      <w:numPr>
        <w:ilvl w:val="7"/>
        <w:numId w:val="1"/>
      </w:numPr>
      <w:suppressAutoHyphens/>
      <w:spacing w:after="240"/>
      <w:outlineLvl w:val="7"/>
    </w:pPr>
    <w:rPr>
      <w:szCs w:val="20"/>
    </w:rPr>
  </w:style>
  <w:style w:type="paragraph" w:customStyle="1" w:styleId="Level9">
    <w:name w:val="Level 9"/>
    <w:basedOn w:val="Normal"/>
    <w:rsid w:val="00550AC7"/>
    <w:pPr>
      <w:numPr>
        <w:ilvl w:val="8"/>
        <w:numId w:val="1"/>
      </w:numPr>
      <w:suppressAutoHyphens/>
      <w:spacing w:after="240"/>
      <w:outlineLvl w:val="8"/>
    </w:pPr>
    <w:rPr>
      <w:szCs w:val="20"/>
    </w:rPr>
  </w:style>
  <w:style w:type="character" w:customStyle="1" w:styleId="Level4Char">
    <w:name w:val="Level 4 Char"/>
    <w:basedOn w:val="DefaultParagraphFont"/>
    <w:link w:val="Level4"/>
    <w:locked/>
    <w:rsid w:val="00550AC7"/>
    <w:rPr>
      <w:rFonts w:cs="Times New Roman"/>
      <w:sz w:val="24"/>
      <w:lang w:val="en-US" w:eastAsia="en-US" w:bidi="ar-SA"/>
    </w:rPr>
  </w:style>
  <w:style w:type="paragraph" w:customStyle="1" w:styleId="10sp1">
    <w:name w:val="_1.0sp 1&quot;"/>
    <w:basedOn w:val="Normal"/>
    <w:rsid w:val="0063608B"/>
    <w:pPr>
      <w:suppressAutoHyphens/>
      <w:spacing w:after="240"/>
      <w:ind w:firstLine="1440"/>
    </w:pPr>
    <w:rPr>
      <w:szCs w:val="20"/>
    </w:rPr>
  </w:style>
  <w:style w:type="paragraph" w:styleId="BalloonText">
    <w:name w:val="Balloon Text"/>
    <w:basedOn w:val="Normal"/>
    <w:link w:val="BalloonTextChar"/>
    <w:uiPriority w:val="99"/>
    <w:semiHidden/>
    <w:rsid w:val="00361417"/>
    <w:rPr>
      <w:rFonts w:ascii="Tahoma" w:hAnsi="Tahoma" w:cs="Tahoma"/>
      <w:sz w:val="16"/>
      <w:szCs w:val="16"/>
    </w:rPr>
  </w:style>
  <w:style w:type="character" w:customStyle="1" w:styleId="BalloonTextChar">
    <w:name w:val="Balloon Text Char"/>
    <w:basedOn w:val="DefaultParagraphFont"/>
    <w:link w:val="BalloonText"/>
    <w:uiPriority w:val="99"/>
    <w:semiHidden/>
    <w:rsid w:val="00A713EC"/>
    <w:rPr>
      <w:sz w:val="0"/>
      <w:szCs w:val="0"/>
    </w:rPr>
  </w:style>
  <w:style w:type="paragraph" w:customStyle="1" w:styleId="Normal0">
    <w:name w:val="@Normal"/>
    <w:rsid w:val="00244708"/>
    <w:pPr>
      <w:suppressAutoHyphens/>
    </w:pPr>
    <w:rPr>
      <w:sz w:val="24"/>
    </w:rPr>
  </w:style>
  <w:style w:type="paragraph" w:customStyle="1" w:styleId="Default">
    <w:name w:val="Default"/>
    <w:rsid w:val="000A488D"/>
    <w:pPr>
      <w:autoSpaceDE w:val="0"/>
      <w:autoSpaceDN w:val="0"/>
      <w:adjustRightInd w:val="0"/>
    </w:pPr>
    <w:rPr>
      <w:color w:val="000000"/>
      <w:sz w:val="24"/>
      <w:szCs w:val="24"/>
    </w:rPr>
  </w:style>
  <w:style w:type="paragraph" w:styleId="ListParagraph">
    <w:name w:val="List Paragraph"/>
    <w:basedOn w:val="Normal"/>
    <w:uiPriority w:val="34"/>
    <w:qFormat/>
    <w:rsid w:val="009B322E"/>
    <w:pPr>
      <w:ind w:left="720"/>
      <w:contextualSpacing/>
      <w:jc w:val="both"/>
    </w:pPr>
    <w:rPr>
      <w:rFonts w:eastAsia="Calibri"/>
      <w:szCs w:val="22"/>
    </w:rPr>
  </w:style>
  <w:style w:type="paragraph" w:customStyle="1" w:styleId="body">
    <w:name w:val="body"/>
    <w:basedOn w:val="Normal"/>
    <w:uiPriority w:val="99"/>
    <w:rsid w:val="00AE09D2"/>
    <w:pPr>
      <w:spacing w:before="100" w:beforeAutospacing="1" w:after="100" w:afterAutospacing="1"/>
    </w:pPr>
    <w:rPr>
      <w:rFonts w:ascii="Verdana" w:hAnsi="Verdana"/>
      <w:color w:val="000000"/>
      <w:sz w:val="20"/>
      <w:szCs w:val="20"/>
    </w:rPr>
  </w:style>
  <w:style w:type="paragraph" w:customStyle="1" w:styleId="12">
    <w:name w:val="12"/>
    <w:basedOn w:val="Normal"/>
    <w:rsid w:val="00D36A11"/>
    <w:pPr>
      <w:spacing w:before="240" w:line="260" w:lineRule="atLeast"/>
    </w:pPr>
    <w:rPr>
      <w:rFonts w:ascii="Arial" w:hAnsi="Arial"/>
      <w:szCs w:val="20"/>
    </w:rPr>
  </w:style>
  <w:style w:type="paragraph" w:styleId="BodyText">
    <w:name w:val="Body Text"/>
    <w:link w:val="BodyTextChar"/>
    <w:rsid w:val="00D76836"/>
    <w:pPr>
      <w:spacing w:after="180" w:line="300" w:lineRule="auto"/>
    </w:pPr>
    <w:rPr>
      <w:szCs w:val="24"/>
    </w:rPr>
  </w:style>
  <w:style w:type="character" w:customStyle="1" w:styleId="BodyTextChar">
    <w:name w:val="Body Text Char"/>
    <w:basedOn w:val="DefaultParagraphFont"/>
    <w:link w:val="BodyText"/>
    <w:rsid w:val="00D76836"/>
    <w:rPr>
      <w:szCs w:val="24"/>
    </w:rPr>
  </w:style>
  <w:style w:type="paragraph" w:customStyle="1" w:styleId="BodyBullet1">
    <w:name w:val="Body Bullet 1"/>
    <w:basedOn w:val="BodyText"/>
    <w:rsid w:val="00D76836"/>
    <w:pPr>
      <w:numPr>
        <w:numId w:val="25"/>
      </w:numPr>
    </w:pPr>
  </w:style>
  <w:style w:type="character" w:customStyle="1" w:styleId="Heading2Char">
    <w:name w:val="Heading 2 Char"/>
    <w:basedOn w:val="DefaultParagraphFont"/>
    <w:link w:val="Heading2"/>
    <w:semiHidden/>
    <w:rsid w:val="0022476A"/>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A82C7E"/>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Bullet2">
    <w:name w:val="Body Bullet 2"/>
    <w:basedOn w:val="BodyText"/>
    <w:rsid w:val="00A53D20"/>
    <w:pPr>
      <w:numPr>
        <w:numId w:val="32"/>
      </w:numPr>
      <w:tabs>
        <w:tab w:val="left" w:pos="1080"/>
      </w:tabs>
    </w:pPr>
    <w:rPr>
      <w:i/>
    </w:rPr>
  </w:style>
  <w:style w:type="paragraph" w:styleId="ListBullet">
    <w:name w:val="List Bullet"/>
    <w:basedOn w:val="Normal"/>
    <w:rsid w:val="00E74403"/>
    <w:pPr>
      <w:numPr>
        <w:numId w:val="33"/>
      </w:numPr>
      <w:spacing w:after="120"/>
    </w:pPr>
    <w:rPr>
      <w:rFonts w:eastAsia="Calibri"/>
      <w:sz w:val="20"/>
      <w:szCs w:val="22"/>
      <w:lang w:bidi="en-US"/>
    </w:rPr>
  </w:style>
  <w:style w:type="paragraph" w:styleId="BodyText2">
    <w:name w:val="Body Text 2"/>
    <w:basedOn w:val="Normal"/>
    <w:link w:val="BodyText2Char"/>
    <w:rsid w:val="00A37C8F"/>
    <w:pPr>
      <w:spacing w:after="240"/>
      <w:ind w:left="720"/>
      <w:jc w:val="both"/>
    </w:pPr>
    <w:rPr>
      <w:rFonts w:ascii="Arial" w:eastAsia="MS Mincho" w:hAnsi="Arial"/>
      <w:sz w:val="22"/>
      <w:szCs w:val="22"/>
    </w:rPr>
  </w:style>
  <w:style w:type="character" w:customStyle="1" w:styleId="BodyText2Char">
    <w:name w:val="Body Text 2 Char"/>
    <w:basedOn w:val="DefaultParagraphFont"/>
    <w:link w:val="BodyText2"/>
    <w:rsid w:val="00A37C8F"/>
    <w:rPr>
      <w:rFonts w:ascii="Arial" w:eastAsia="MS Mincho"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1187315">
      <w:bodyDiv w:val="1"/>
      <w:marLeft w:val="0"/>
      <w:marRight w:val="0"/>
      <w:marTop w:val="0"/>
      <w:marBottom w:val="0"/>
      <w:divBdr>
        <w:top w:val="none" w:sz="0" w:space="0" w:color="auto"/>
        <w:left w:val="none" w:sz="0" w:space="0" w:color="auto"/>
        <w:bottom w:val="none" w:sz="0" w:space="0" w:color="auto"/>
        <w:right w:val="none" w:sz="0" w:space="0" w:color="auto"/>
      </w:divBdr>
      <w:divsChild>
        <w:div w:id="857819085">
          <w:marLeft w:val="0"/>
          <w:marRight w:val="0"/>
          <w:marTop w:val="0"/>
          <w:marBottom w:val="0"/>
          <w:divBdr>
            <w:top w:val="none" w:sz="0" w:space="0" w:color="auto"/>
            <w:left w:val="none" w:sz="0" w:space="0" w:color="auto"/>
            <w:bottom w:val="none" w:sz="0" w:space="0" w:color="auto"/>
            <w:right w:val="none" w:sz="0" w:space="0" w:color="auto"/>
          </w:divBdr>
          <w:divsChild>
            <w:div w:id="1088843435">
              <w:marLeft w:val="0"/>
              <w:marRight w:val="0"/>
              <w:marTop w:val="0"/>
              <w:marBottom w:val="0"/>
              <w:divBdr>
                <w:top w:val="none" w:sz="0" w:space="0" w:color="auto"/>
                <w:left w:val="none" w:sz="0" w:space="0" w:color="auto"/>
                <w:bottom w:val="none" w:sz="0" w:space="0" w:color="auto"/>
                <w:right w:val="none" w:sz="0" w:space="0" w:color="auto"/>
              </w:divBdr>
              <w:divsChild>
                <w:div w:id="1917393803">
                  <w:marLeft w:val="0"/>
                  <w:marRight w:val="0"/>
                  <w:marTop w:val="150"/>
                  <w:marBottom w:val="0"/>
                  <w:divBdr>
                    <w:top w:val="none" w:sz="0" w:space="0" w:color="auto"/>
                    <w:left w:val="none" w:sz="0" w:space="0" w:color="auto"/>
                    <w:bottom w:val="none" w:sz="0" w:space="0" w:color="auto"/>
                    <w:right w:val="none" w:sz="0" w:space="0" w:color="auto"/>
                  </w:divBdr>
                  <w:divsChild>
                    <w:div w:id="1861508379">
                      <w:marLeft w:val="0"/>
                      <w:marRight w:val="0"/>
                      <w:marTop w:val="0"/>
                      <w:marBottom w:val="0"/>
                      <w:divBdr>
                        <w:top w:val="none" w:sz="0" w:space="0" w:color="auto"/>
                        <w:left w:val="none" w:sz="0" w:space="0" w:color="auto"/>
                        <w:bottom w:val="none" w:sz="0" w:space="0" w:color="auto"/>
                        <w:right w:val="none" w:sz="0" w:space="0" w:color="auto"/>
                      </w:divBdr>
                      <w:divsChild>
                        <w:div w:id="836574596">
                          <w:marLeft w:val="0"/>
                          <w:marRight w:val="0"/>
                          <w:marTop w:val="0"/>
                          <w:marBottom w:val="0"/>
                          <w:divBdr>
                            <w:top w:val="none" w:sz="0" w:space="0" w:color="auto"/>
                            <w:left w:val="none" w:sz="0" w:space="0" w:color="auto"/>
                            <w:bottom w:val="none" w:sz="0" w:space="0" w:color="auto"/>
                            <w:right w:val="none" w:sz="0" w:space="0" w:color="auto"/>
                          </w:divBdr>
                          <w:divsChild>
                            <w:div w:id="2087339841">
                              <w:marLeft w:val="0"/>
                              <w:marRight w:val="0"/>
                              <w:marTop w:val="0"/>
                              <w:marBottom w:val="0"/>
                              <w:divBdr>
                                <w:top w:val="none" w:sz="0" w:space="0" w:color="auto"/>
                                <w:left w:val="none" w:sz="0" w:space="0" w:color="auto"/>
                                <w:bottom w:val="none" w:sz="0" w:space="0" w:color="auto"/>
                                <w:right w:val="none" w:sz="0" w:space="0" w:color="auto"/>
                              </w:divBdr>
                              <w:divsChild>
                                <w:div w:id="186023044">
                                  <w:marLeft w:val="0"/>
                                  <w:marRight w:val="0"/>
                                  <w:marTop w:val="0"/>
                                  <w:marBottom w:val="0"/>
                                  <w:divBdr>
                                    <w:top w:val="none" w:sz="0" w:space="0" w:color="auto"/>
                                    <w:left w:val="none" w:sz="0" w:space="0" w:color="auto"/>
                                    <w:bottom w:val="none" w:sz="0" w:space="0" w:color="auto"/>
                                    <w:right w:val="none" w:sz="0" w:space="0" w:color="auto"/>
                                  </w:divBdr>
                                  <w:divsChild>
                                    <w:div w:id="770273134">
                                      <w:marLeft w:val="0"/>
                                      <w:marRight w:val="0"/>
                                      <w:marTop w:val="0"/>
                                      <w:marBottom w:val="0"/>
                                      <w:divBdr>
                                        <w:top w:val="none" w:sz="0" w:space="0" w:color="auto"/>
                                        <w:left w:val="none" w:sz="0" w:space="0" w:color="auto"/>
                                        <w:bottom w:val="none" w:sz="0" w:space="0" w:color="auto"/>
                                        <w:right w:val="none" w:sz="0" w:space="0" w:color="auto"/>
                                      </w:divBdr>
                                      <w:divsChild>
                                        <w:div w:id="122425820">
                                          <w:marLeft w:val="0"/>
                                          <w:marRight w:val="0"/>
                                          <w:marTop w:val="0"/>
                                          <w:marBottom w:val="0"/>
                                          <w:divBdr>
                                            <w:top w:val="none" w:sz="0" w:space="0" w:color="auto"/>
                                            <w:left w:val="none" w:sz="0" w:space="0" w:color="auto"/>
                                            <w:bottom w:val="none" w:sz="0" w:space="0" w:color="auto"/>
                                            <w:right w:val="none" w:sz="0" w:space="0" w:color="auto"/>
                                          </w:divBdr>
                                          <w:divsChild>
                                            <w:div w:id="129887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7039253">
      <w:marLeft w:val="0"/>
      <w:marRight w:val="0"/>
      <w:marTop w:val="0"/>
      <w:marBottom w:val="0"/>
      <w:divBdr>
        <w:top w:val="none" w:sz="0" w:space="0" w:color="auto"/>
        <w:left w:val="none" w:sz="0" w:space="0" w:color="auto"/>
        <w:bottom w:val="none" w:sz="0" w:space="0" w:color="auto"/>
        <w:right w:val="none" w:sz="0" w:space="0" w:color="auto"/>
      </w:divBdr>
      <w:divsChild>
        <w:div w:id="21270392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tc.gov/idthef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9402BC-4222-4F3D-A505-12D2F6BE1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3551</Words>
  <Characters>20242</Characters>
  <Application>Microsoft Office Word</Application>
  <DocSecurity>0</DocSecurity>
  <PresentationFormat/>
  <Lines>168</Lines>
  <Paragraphs>47</Paragraphs>
  <ScaleCrop>false</ScaleCrop>
  <HeadingPairs>
    <vt:vector size="2" baseType="variant">
      <vt:variant>
        <vt:lpstr>Title</vt:lpstr>
      </vt:variant>
      <vt:variant>
        <vt:i4>1</vt:i4>
      </vt:variant>
    </vt:vector>
  </HeadingPairs>
  <TitlesOfParts>
    <vt:vector size="1" baseType="lpstr">
      <vt:lpstr>Sample Incident Response Plan (Extended Form)  (5461672.DOCX;1)</vt:lpstr>
    </vt:vector>
  </TitlesOfParts>
  <Company/>
  <LinksUpToDate>false</LinksUpToDate>
  <CharactersWithSpaces>23746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2024-09-23T22:16:00Z</dcterms:created>
  <dcterms:modified xsi:type="dcterms:W3CDTF">2024-09-23T22:16:00Z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gFAA5ajW4yTOEjsVhlpQYxdc4aNuAIKiVfvHXQrBEhRKL0pBnu0FhYJOU3vwiQAvoJD3AL0ves4Aex4Z
juqvmbdikM7QJEsEDr3fVs2+3fp5b77WFGOHHZURnbqeOCQChxAdaZx65jiPkpUyTQlP+d+tdT1l
8aTAxsqeFLfNZKzfa+Yu2hOome6uHi7S7EHcjS7iDQyrfRCD+xY5GASo7V1xfITLMt17dYWO7DX8
9uffGPqDfqYDX5Z6n</vt:lpwstr>
  </property>
  <property fmtid="{D5CDD505-2E9C-101B-9397-08002B2CF9AE}" pid="3" name="MAIL_MSG_ID2">
    <vt:lpwstr>8veaurb6k3v/9+Rddf92xbE9quR630oQXoqBywo4gGnOhVloRrhJmZykp2S
POsjjnryX34phuWZ5KdroI8fnTk8NYKC9H9DYQ==</vt:lpwstr>
  </property>
  <property fmtid="{D5CDD505-2E9C-101B-9397-08002B2CF9AE}" pid="4" name="RESPONSE_SENDER_NAME">
    <vt:lpwstr>sAAAb0xRtPDW5Ut+gL4TjDSrD5kj+OOg/1QhaNGIcr6fSY0=</vt:lpwstr>
  </property>
  <property fmtid="{D5CDD505-2E9C-101B-9397-08002B2CF9AE}" pid="5" name="EMAIL_OWNER_ADDRESS">
    <vt:lpwstr>ABAAv4tRYjpfjUusmbkw+6m+vyGUEsjryzimum5g4wYbgsrva86hG8UQjXztO5Rd80Lp</vt:lpwstr>
  </property>
</Properties>
</file>